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Зачем правительство планирует развивать суперкомпьютеры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2026-03-20</w:t>
      </w:r>
    </w:p>
    <w:p>
      <w:pPr/>
      <w:r>
        <w:t>1 мин. на чтение</w:t>
      </w:r>
    </w:p>
    <w:p/>
    <w:p>
      <w:r>
        <w:rPr>
          <w:b/>
        </w:rPr>
        <w:t>Детали.</w:t>
      </w:r>
      <w:r>
        <w:t xml:space="preserve"> Россия </w:t>
      </w:r>
      <w:hyperlink r:id="rId12">
        <w:r>
          <w:rPr>
            <w:color w:val="0000FF"/>
            <w:u w:val="single"/>
          </w:rPr>
          <w:t>наращивает</w:t>
        </w:r>
      </w:hyperlink>
      <w:r>
        <w:t xml:space="preserve"> инвестиции в вычислительные мощности, включая разработку суперкомпьютеров и специализированных систем для искусственного интеллекта.</w:t>
      </w:r>
    </w:p>
    <w:p>
      <w:r>
        <w:t>► В рамках этой политики акцент делается на создании инфраструктуры для обработки больших данных и обучения нейросетей, что требует значительных энергетических и аппаратных ресурсов.</w:t>
      </w:r>
    </w:p>
    <w:p>
      <w:r>
        <w:t>► Параллельно</w:t>
      </w:r>
      <w:hyperlink r:id="rId13">
        <w:r>
          <w:rPr>
            <w:color w:val="0000FF"/>
            <w:u w:val="single"/>
          </w:rPr>
          <w:t xml:space="preserve"> развивается</w:t>
        </w:r>
      </w:hyperlink>
      <w:r>
        <w:t xml:space="preserve"> направление компактных, но мощных вычислительных решений — новые разработки в области микро- и наноэлектроники. Эти технологии </w:t>
      </w:r>
      <w:hyperlink r:id="rId14">
        <w:r>
          <w:rPr>
            <w:color w:val="0000FF"/>
            <w:u w:val="single"/>
          </w:rPr>
          <w:t>рассматриваются</w:t>
        </w:r>
      </w:hyperlink>
      <w:r>
        <w:t xml:space="preserve"> как основа для цифровой экономики и военных разработок.</w:t>
      </w:r>
    </w:p>
    <w:p>
      <w:r>
        <w:rPr>
          <w:b/>
        </w:rPr>
        <w:t>Контекст.</w:t>
      </w:r>
      <w:r>
        <w:t xml:space="preserve"> Рост инвестиций в суперкомпьютеры связан с глобальной конкуренцией за лидерство в области ИИ и высокопроизводительных вычислений.</w:t>
      </w:r>
    </w:p>
    <w:p>
      <w:r>
        <w:t>► Крупнейшие экономики мира рассматривают вычислительные мощности как стратегический ресурс, сопоставимый с энергетикой или сырьём.</w:t>
      </w:r>
    </w:p>
    <w:p>
      <w:r>
        <w:t>► Обучение современных моделей ИИ требует резкого роста вычислительных мощностей, что ведёт к концентрации ресурсов.</w:t>
      </w:r>
    </w:p>
    <w:p>
      <w:r>
        <w:t>► Развитие компактных решений дополняет этот процесс, расширяя применение ИИ вне крупных дата-центров.</w:t>
      </w:r>
    </w:p>
    <w:p>
      <w:r>
        <w:rPr>
          <w:b/>
        </w:rPr>
        <w:t>Важно знать.</w:t>
      </w:r>
      <w:r>
        <w:t xml:space="preserve"> Ускоренное развитие суперкомпьютеров отражает обострение межимпериалистической конкуренции за контроль над ключевыми технологиями.</w:t>
      </w:r>
    </w:p>
    <w:p>
      <w:r>
        <w:t>► Усиление роли государства связано с тем, что крупный бизнес перекладывает свои издержки на рядовых граждан. Он создаёт вычислительную инфраструктуру, необходимую ему для глобальной конкуренции, расширяет капитал, но за чужой счёт.</w:t>
      </w:r>
    </w:p>
    <w:p>
      <w:r>
        <w:t>► Концентрация вычислительных мощностей в руках государства и монополий усиливает неравенство доступа к технологиям и закрепляет контроль над данными как формой современного капитала. Параллельное развитие компактных решений не отменяет этой тенденции, а лишь расширяет сферу применения технологий в интересах капитала.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zachiem-pravitielstvo-planiruiet-razvivat-supierkompiutiery" TargetMode="External"/><Relationship Id="rId12" Type="http://schemas.openxmlformats.org/officeDocument/2006/relationships/hyperlink" Target="https://www.vedomosti.ru/technology/articles/2026/03/17/1183263-zachem-pravitelstvo-planiruet-razvivat-superkompyuteri" TargetMode="External"/><Relationship Id="rId13" Type="http://schemas.openxmlformats.org/officeDocument/2006/relationships/hyperlink" Target="https://expert.ru/tekhnologii/malyshka-na-kvintillion/" TargetMode="External"/><Relationship Id="rId14" Type="http://schemas.openxmlformats.org/officeDocument/2006/relationships/hyperlink" Target="https://myseldon.com/ru/news/index/343181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