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Зачем коммерческим компаниям ESG-политика?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2023-12-25</w:t>
      </w:r>
    </w:p>
    <w:p>
      <w:pPr/>
      <w:r>
        <w:t>1 мин. на чтение</w:t>
      </w:r>
    </w:p>
    <w:p/>
    <w:p>
      <w:r>
        <w:t>22 ноября в Белоруссии состоялась конференция "На пути к устойчивому будущему: ESG (environment, social, governance) вызов". Конференция призвана установить взаимодействие государства и национального бизнеса по вопросам регулирования процессов внедрения в области учёта экологических, социальных и управленческих факторов.</w:t>
      </w:r>
    </w:p>
    <w:p>
      <w:r>
        <w:t>Целью конференции является информирование предприятий про политику ESG. Рейтинги в сфере ESG необходимы для сотрудничества с мировыми компаниями. В основном такая политика касается промышленного и банковского сектора.</w:t>
      </w:r>
    </w:p>
    <w:p>
      <w:r>
        <w:t xml:space="preserve">Заместитель главы Администрации Президента Максим Ермолович во время конференции </w:t>
      </w:r>
      <w:hyperlink r:id="rId11">
        <w:r>
          <w:rPr>
            <w:color w:val="0000FF"/>
            <w:u w:val="single"/>
          </w:rPr>
          <w:t>поставил</w:t>
        </w:r>
      </w:hyperlink>
      <w:r>
        <w:t xml:space="preserve"> в пример такие крупные флагманы белорусской промышленности как БЕЛАЗ, МТЗ, МАЗ, "Беларуськалий", у которых на балансе имеются социальные объекты. Дополнительно отмечено, что из прибылей оных предприятий финансируются социально значимые проекты. Например, оздоровительные комплексы, школы, санатории, детские сады и оздоровительные лагеря. Также может быть оказана помощь в закупке транспорта и оборудования для детских и медицинских учреждений.</w:t>
      </w:r>
    </w:p>
    <w:p>
      <w:r>
        <w:t>Из сказанного следует, что ESG политика является мировым трендом коммерческих компаний. Обусловлено такое поведение попыткой затушевывания противоречий между трудом и капиталом. В условиях капитализма, например, покупка школьного автобуса или аппарата УЗИ никак не отменяет факта эксплуатации рабочего класса путём отъема прибавочной стоимости. Напротив, продолжается отчуждение человека от результатов его труда, что в свою очередь способствует расчеловечению трудящихся.</w:t>
      </w:r>
    </w:p>
    <w:p>
      <w:r>
        <w:t>Таким образом ESG программа позволяет бизнесам угнетать рабочий класс под благородным предлогом заботы об обществе. Выставить предприятия в нужном для класса предпринимателей свете и отвести от них общественное осуждение, вызванное погоней за прибылью.</w:t>
      </w:r>
    </w:p>
    <w:p>
      <w:r>
        <w:t>Следовательно, целью ESG политики является не столько поддержка социального сектора, сколько самопиар предприятий. К тому же происходит это при содействии и подаче государства, что в очередной раз показывает, интересы какого класса оно отстаивает.</w:t>
      </w:r>
    </w:p>
    <w:p>
      <w:r>
        <w:t>Наконец, предприятия с недостаточным капиталом для ESG программы рискуют остаться без контрактов, что поспособствует их разорению и снижению конкуренции на рынке. Это усиливает монополизацию рынка и способствует централизации и концентрации капитала. Крупнейшие корпорации вбирают в себя всё больше сфер общественной жизни, создавая экономический фундамент для их обобществления, и очерчивая контуры социалистического будущего.</w:t>
      </w:r>
    </w:p>
    <w:p>
      <w:r>
        <w:t xml:space="preserve">Источники: Белта - </w:t>
      </w:r>
      <w:hyperlink r:id="rId11">
        <w:r>
          <w:rPr>
            <w:color w:val="0000FF"/>
            <w:u w:val="single"/>
          </w:rPr>
          <w:t>«Ермолович: прибыльные предприятия должны вносить свой вклад в реализацию социальных проектов»</w:t>
        </w:r>
      </w:hyperlink>
      <w:r>
        <w:t xml:space="preserve"> от 22 ноября 2023 г.</w:t>
      </w:r>
    </w:p>
    <w:p>
      <w:r>
        <w:t xml:space="preserve">Белта - </w:t>
      </w:r>
      <w:hyperlink r:id="rId12">
        <w:r>
          <w:rPr>
            <w:color w:val="0000FF"/>
            <w:u w:val="single"/>
          </w:rPr>
          <w:t>«Картун: ESG-повестка призвана оценить влияние бизнеса на экономику, экологию и общество»</w:t>
        </w:r>
      </w:hyperlink>
      <w:r>
        <w:t xml:space="preserve"> от 22 ноября 2023 г.</w:t>
      </w:r>
    </w:p>
    <w:p>
      <w:r>
        <w:t xml:space="preserve">Белта - </w:t>
      </w:r>
      <w:hyperlink r:id="rId13">
        <w:r>
          <w:rPr>
            <w:color w:val="0000FF"/>
            <w:u w:val="single"/>
          </w:rPr>
          <w:t>«Минэкономики: подходы к субъектам хозяйствования по внедрению ESG будут ужесточаться»</w:t>
        </w:r>
      </w:hyperlink>
      <w:r>
        <w:t xml:space="preserve"> от 22 ноября 2023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zachiem-kommierchieskim-kompaniiam-esg-politika" TargetMode="External"/><Relationship Id="rId11" Type="http://schemas.openxmlformats.org/officeDocument/2006/relationships/hyperlink" Target="https://www.belta.by/economics/view/ermolovich-pribylnye-predprijatija-dolzhny-vnosit-svoj-vklad-v-realizatsiju-sotsialnyh-proektov-601086-2023/" TargetMode="External"/><Relationship Id="rId12" Type="http://schemas.openxmlformats.org/officeDocument/2006/relationships/hyperlink" Target="https://www.belta.by/economics/view/kartun-esg-povestka-prizvana-otsenit-vlijanie-biznesa-na-ekonomiku-ekologiju-i-obschestvo-601120-2023/" TargetMode="External"/><Relationship Id="rId13" Type="http://schemas.openxmlformats.org/officeDocument/2006/relationships/hyperlink" Target="https://www.belta.by/economics/view/minekonomiki-podhody-k-subjektam-hozjajstvovanija-po-vnedreniju-esg-budut-uzhestochatsja-601123-202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