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Высокая пенсия недоступна большинству россиян из-за требований пенсионной системы</w:t>
      </w:r>
    </w:p>
    <w:p>
      <w:pPr>
        <w:spacing w:after="720"/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Оригинальная статья</w:t>
        </w:r>
      </w:hyperlink>
    </w:p>
    <w:p>
      <w:pPr/>
      <w:r>
        <w:t>2026-09-19</w:t>
      </w:r>
    </w:p>
    <w:p>
      <w:pPr/>
      <w:r>
        <w:t>1 мин. на чтение</w:t>
      </w:r>
    </w:p>
    <w:p/>
    <w:p>
      <w:r>
        <w:rPr>
          <w:b/>
        </w:rPr>
        <w:t>Пенсионная система обрекает большинство россиян на нищету в старости.</w:t>
      </w:r>
    </w:p>
    <w:p>
      <w:r>
        <w:rPr>
          <w:b/>
        </w:rPr>
        <w:t xml:space="preserve">Детали. </w:t>
      </w:r>
      <w:r>
        <w:t xml:space="preserve">Как сообщает профессор Финансового университета при правительстве РФ Александр Сафронов, в 2027 году максимальный размер страховой </w:t>
      </w:r>
      <w:hyperlink r:id="rId12">
        <w:r>
          <w:rPr>
            <w:color w:val="0000FF"/>
            <w:u w:val="single"/>
          </w:rPr>
          <w:t>пенсии</w:t>
        </w:r>
      </w:hyperlink>
      <w:r>
        <w:t xml:space="preserve"> по старости может превысить 77 тыс. рублей.</w:t>
      </w:r>
    </w:p>
    <w:p>
      <w:r>
        <w:t xml:space="preserve">► Начисление предельной выплаты </w:t>
      </w:r>
      <w:hyperlink r:id="rId13">
        <w:r>
          <w:rPr>
            <w:color w:val="0000FF"/>
            <w:u w:val="single"/>
          </w:rPr>
          <w:t>требует</w:t>
        </w:r>
      </w:hyperlink>
      <w:r>
        <w:t xml:space="preserve"> накопления 350–400 пенсионных баллов при страховом стаже от 40 до 45 лет.</w:t>
      </w:r>
    </w:p>
    <w:p>
      <w:r>
        <w:t xml:space="preserve">► Для получения </w:t>
      </w:r>
      <w:hyperlink r:id="rId13">
        <w:r>
          <w:rPr>
            <w:color w:val="0000FF"/>
            <w:u w:val="single"/>
          </w:rPr>
          <w:t>максимального лимита</w:t>
        </w:r>
      </w:hyperlink>
      <w:r>
        <w:t xml:space="preserve"> в 10 баллов в год необходима официальная заработная плата на уровне 250–300 тыс. рублей в месяц.</w:t>
      </w:r>
    </w:p>
    <w:p>
      <w:r>
        <w:t xml:space="preserve">► Назначение </w:t>
      </w:r>
      <w:hyperlink r:id="rId14">
        <w:r>
          <w:rPr>
            <w:color w:val="0000FF"/>
            <w:u w:val="single"/>
          </w:rPr>
          <w:t>средней пенсии</w:t>
        </w:r>
      </w:hyperlink>
      <w:r>
        <w:t xml:space="preserve"> в 29 тыс. рублей требует 111 баллов, от 30 до 40 лет стажа и официального дохода от 74 до 99 тыс. рублей.</w:t>
      </w:r>
    </w:p>
    <w:p>
      <w:r>
        <w:rPr>
          <w:b/>
        </w:rPr>
        <w:t xml:space="preserve">Контекст. </w:t>
      </w:r>
      <w:r>
        <w:t xml:space="preserve">По данным Росстата, </w:t>
      </w:r>
      <w:hyperlink r:id="rId15">
        <w:r>
          <w:rPr>
            <w:color w:val="0000FF"/>
            <w:u w:val="single"/>
          </w:rPr>
          <w:t>медианная заработная</w:t>
        </w:r>
      </w:hyperlink>
      <w:r>
        <w:t xml:space="preserve"> плата в России составляет около 74 тыс. рублей, что находится на нижней границе условий, необходимых для формирования средней пенсии.</w:t>
      </w:r>
    </w:p>
    <w:p>
      <w:r>
        <w:t xml:space="preserve">► Формы занятости по договорам ГПХ и статусу самозанятых, которые работодатели стали все </w:t>
      </w:r>
      <w:hyperlink r:id="rId16">
        <w:r>
          <w:rPr>
            <w:color w:val="0000FF"/>
            <w:u w:val="single"/>
          </w:rPr>
          <w:t>чаще</w:t>
        </w:r>
      </w:hyperlink>
      <w:r>
        <w:t xml:space="preserve"> использовать, отличаются от стандартного трудового договора механизмом пенсионных отчислений, что, при отсутствии добровольных взносов, исключает формирование страхового стажа и баллов.</w:t>
      </w:r>
    </w:p>
    <w:p>
      <w:r>
        <w:t xml:space="preserve">► Нестабильная занятость и периоды неофициальной работы, чаще встречающейся у </w:t>
      </w:r>
      <w:hyperlink r:id="rId17">
        <w:r>
          <w:rPr>
            <w:color w:val="0000FF"/>
            <w:u w:val="single"/>
          </w:rPr>
          <w:t>молодёжи</w:t>
        </w:r>
      </w:hyperlink>
      <w:r>
        <w:t>, сокращают суммарный легальный стаж, снижая итоговый размер пенсионных прав.</w:t>
      </w:r>
    </w:p>
    <w:p>
      <w:r>
        <w:rPr>
          <w:b/>
        </w:rPr>
        <w:t xml:space="preserve">Важно знать. </w:t>
      </w:r>
      <w:r>
        <w:t>Введенная в 2015 году бальная система и повышение пенсионного возраста до 65 лет для мужчин и 60 лет для женщин увязали размер пенсионного обеспечения с постоянным участием работника в официальном рынке труда.</w:t>
      </w:r>
    </w:p>
    <w:p>
      <w:r>
        <w:t>►  Использование работодателями нестандартных форм занятости и серых схем оплаты труда выступает инструментом снижения издержек на социальное страхование, перекладывающим риски пенсионного обеспечения на самого наемного рабочего.</w:t>
      </w:r>
    </w:p>
    <w:p>
      <w:r>
        <w:t>► В капиталистической системе размер пенсии перестает быть гарантированным социальным благом и становится прямым отражением рыночной позиции работника, уровня его зарплаты и непрерывности эксплуатации его рабочей силы.</w:t>
      </w:r>
    </w:p>
    <w:p>
      <w:r>
        <w:rPr>
          <w:b/>
        </w:rPr>
        <w:t xml:space="preserve">► </w:t>
      </w:r>
      <w:r>
        <w:t>Капитал превращает наемного работника в “выжатый” отработанный ресурс, содержание которого не приносит прибыли, а потому невыгодно.</w:t>
      </w:r>
    </w:p>
    <w:p>
      <w:r>
        <w:rPr>
          <w:b/>
        </w:rPr>
        <w:t>►</w:t>
      </w:r>
      <w:r>
        <w:t xml:space="preserve"> Пока государство выражает интересы частных собственников, а не наемных работников, достойный отдых после трудовой деятельности для многих остается недостижимой мечтой.</w:t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Оригинальная статья</w:t>
        </w:r>
      </w:hyperlink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politsturm.com/vysokaia-piensiia-niedostupna-bolshinstvu-rossiian-iz-za-triebovanii-piensionnoi-sistiemy" TargetMode="External"/><Relationship Id="rId12" Type="http://schemas.openxmlformats.org/officeDocument/2006/relationships/hyperlink" Target="https://tass.ru/obschestvo/28107051" TargetMode="External"/><Relationship Id="rId13" Type="http://schemas.openxmlformats.org/officeDocument/2006/relationships/hyperlink" Target="https://www.gazeta.press/business/news/2026/08/31/29217589.shtml" TargetMode="External"/><Relationship Id="rId14" Type="http://schemas.openxmlformats.org/officeDocument/2006/relationships/hyperlink" Target="https://www.gazeta.ru/business/news/2026/08/27/29193295.shtml?utm_auth=false" TargetMode="External"/><Relationship Id="rId15" Type="http://schemas.openxmlformats.org/officeDocument/2006/relationships/hyperlink" Target="https://www.rbc.ru/education/14/09/2026/6aa13c6f9a7947e65419417e" TargetMode="External"/><Relationship Id="rId16" Type="http://schemas.openxmlformats.org/officeDocument/2006/relationships/hyperlink" Target="https://iz.ru/1982834/milana-gadzhieva/dogovor-deshevle-deneg-kompanii-rekordno-uvelichili-najm-vneshtatnikov" TargetMode="External"/><Relationship Id="rId17" Type="http://schemas.openxmlformats.org/officeDocument/2006/relationships/hyperlink" Target="https://politsturm.com/molodiozhi-stanovitsia-trudnieie-naiti-rabo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