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Введение налога на сверхприбыль не планируется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2026-05-28</w:t>
      </w:r>
    </w:p>
    <w:p>
      <w:pPr/>
      <w:r>
        <w:t>2 мин. на чтение</w:t>
      </w:r>
    </w:p>
    <w:p/>
    <w:p>
      <w:r>
        <w:rPr>
          <w:b/>
        </w:rPr>
        <w:t xml:space="preserve">Об этом </w:t>
      </w:r>
      <w:hyperlink r:id="rId12">
        <w:r>
          <w:rPr>
            <w:color w:val="0000FF"/>
            <w:u w:val="single"/>
          </w:rPr>
          <w:t xml:space="preserve">сообщил </w:t>
        </w:r>
      </w:hyperlink>
      <w:r>
        <w:rPr>
          <w:b/>
        </w:rPr>
        <w:t xml:space="preserve">заместитель главы Минэкономразвития Алексей Сазанов. Чиновник пояснил, что решение о “донастройке” налоговой системы может быть принято в будущем после ряда работ и процедур.  </w:t>
      </w:r>
    </w:p>
    <w:p>
      <w:r>
        <w:rPr>
          <w:b/>
        </w:rPr>
        <w:t xml:space="preserve">Детали. </w:t>
      </w:r>
      <w:r>
        <w:t>Для начала обсуждения темы налога на сверхприбыль со слов Сазонова нужно, чтобы Минэк провел исследования ожидаемых в ближайшие три года расходов и доходов госбюджета.</w:t>
      </w:r>
      <w:r>
        <w:rPr>
          <w:b/>
        </w:rPr>
        <w:t xml:space="preserve"> </w:t>
      </w:r>
    </w:p>
    <w:p>
      <w:r>
        <w:rPr>
          <w:b/>
        </w:rPr>
        <w:t xml:space="preserve">Цитата: </w:t>
      </w:r>
      <w:r>
        <w:rPr>
          <w:i/>
        </w:rPr>
        <w:t>“Сейчас таких обсуждений нет. Опять-таки при обсуждении бюджета на следующую трехлетку, 2027–2029 годы, в комплексе будут рассматриваться все доходы и расходы федерального бюджета, соответственно, исходя из потребности будет приниматься решение…”.</w:t>
      </w:r>
    </w:p>
    <w:p>
      <w:r>
        <w:t xml:space="preserve">► В марте текущего года министр экономического развития Максим Решетников публично сообщил о готовности ведомства к обсуждению налогообложения сверхприбыли в отдельных отраслях. </w:t>
      </w:r>
    </w:p>
    <w:p>
      <w:r>
        <w:t>► В апреле в СМИ появилась информация об обсуждении в правительстве и администрации президента налога на сверхприбыль компаний в 2025 г. Упоминался предполагаемый разовый сбор в размере 20% годовой сверхприбыли компаний.</w:t>
      </w:r>
    </w:p>
    <w:p>
      <w:r>
        <w:t xml:space="preserve">► Глава Российского союза промышленников и предпринимателей (РСПП) Александр Шохин заявил, что взимание налога на сверхприбыль за 2025 г. было бы невозможным по причине отсутствия таковой у большинства отраслей бизнеса.   </w:t>
      </w:r>
    </w:p>
    <w:p>
      <w:r>
        <w:rPr>
          <w:b/>
        </w:rPr>
        <w:t xml:space="preserve">Контекст. </w:t>
      </w:r>
      <w:r>
        <w:t xml:space="preserve">По итогам первых четырех месяцев 2026 г. дефицит федерального бюджета составил 5,8 триллиона рублей. Этот показатель уже </w:t>
      </w:r>
      <w:hyperlink r:id="rId13">
        <w:r>
          <w:rPr>
            <w:color w:val="0000FF"/>
            <w:u w:val="single"/>
          </w:rPr>
          <w:t xml:space="preserve">превысил </w:t>
        </w:r>
      </w:hyperlink>
      <w:r>
        <w:t xml:space="preserve">на 55% годовой запланированный дефицит бюджета в 3,8 трлн руб. </w:t>
      </w:r>
    </w:p>
    <w:p>
      <w:r>
        <w:t xml:space="preserve">► С начала 2026 г. государство активно </w:t>
      </w:r>
      <w:hyperlink r:id="rId14">
        <w:r>
          <w:rPr>
            <w:color w:val="0000FF"/>
            <w:u w:val="single"/>
          </w:rPr>
          <w:t>предпринимает меры</w:t>
        </w:r>
      </w:hyperlink>
      <w:r>
        <w:t xml:space="preserve"> для расширения налогообложения малого и среднего бизнеса. 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Комплекс мер</w:t>
        </w:r>
      </w:hyperlink>
      <w:r>
        <w:t xml:space="preserve"> государства по усилению системы налогообложения включает в себя не только повышение НДС с 20 до 22%, но и ограничение льготных режимов уплаты налогов, рост страховых взносов для малого и среднего бизнеса и др. </w:t>
      </w:r>
    </w:p>
    <w:p>
      <w:r>
        <w:t xml:space="preserve">► Среди вариантов преодоления бюджетного кризиса экспертами уже обсуждалась </w:t>
      </w:r>
      <w:hyperlink r:id="rId16">
        <w:r>
          <w:rPr>
            <w:color w:val="0000FF"/>
            <w:u w:val="single"/>
          </w:rPr>
          <w:t>девальвация рубля</w:t>
        </w:r>
      </w:hyperlink>
      <w:r>
        <w:t>.</w:t>
      </w:r>
    </w:p>
    <w:p>
      <w:r>
        <w:rPr>
          <w:b/>
        </w:rPr>
        <w:t xml:space="preserve">Важно знать. </w:t>
      </w:r>
      <w:r>
        <w:t xml:space="preserve">Налогообложение в буржуазном государстве является одной из форм эксплуатации трудящихся правящим классом. </w:t>
      </w:r>
    </w:p>
    <w:p>
      <w:r>
        <w:t xml:space="preserve">► Напрямую такая эксплуатация проявляется в изъятии в виде налогов части доходов трудящихся, и передачи их по различным каналам и различными способами крупному бизнесу. </w:t>
      </w:r>
    </w:p>
    <w:p>
      <w:r>
        <w:t xml:space="preserve">► Косвенно она проявляется в расходовании собранных через налогообложение средств на поддержание госаппарата, на сохранение и укрепление механизма политической власти капиталистов.    </w:t>
      </w:r>
    </w:p>
    <w:p>
      <w:r>
        <w:t xml:space="preserve">► В этой связи не удивительно, что налоговое бремя в конечном итоге всей своей тяжестью ложится на плечи рабочих. Крупный бизнес повышает цены, инфляция растет, уровень жизни всех трудящихся падает. Мелкие предприниматели разоряются, и также становятся наемными работниками.  </w:t>
      </w:r>
    </w:p>
    <w:p>
      <w:r>
        <w:t>► Также не удивительно, что сверхприбыль крупного бизнеса остается вне государственного контроля, ведь государство - это структура, контролируемая классом капиталистов, и действующая в интересах наиболее крупных из них.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viedieniie-nalogha-na-svierkhpribyl-nie-planiruietsia" TargetMode="External"/><Relationship Id="rId12" Type="http://schemas.openxmlformats.org/officeDocument/2006/relationships/hyperlink" Target="https://www.rbc.ru/economics/27/05/2026/6a16d4f29a79472cf8cc98ca?from=my_rbc" TargetMode="External"/><Relationship Id="rId13" Type="http://schemas.openxmlformats.org/officeDocument/2006/relationships/hyperlink" Target="https://www.mk.ru/economics/2026/05/12/deficit-rossiyskogo-byudzheta-dostig-shokiruyushhego-urovnya-k-mayu.html" TargetMode="External"/><Relationship Id="rId14" Type="http://schemas.openxmlformats.org/officeDocument/2006/relationships/hyperlink" Target="https://politsturm.com/gosudarstvo-mieniaiet-pravila-dlia-malogho-bizniesa" TargetMode="External"/><Relationship Id="rId15" Type="http://schemas.openxmlformats.org/officeDocument/2006/relationships/hyperlink" Target="https://www.forbes.ru/finansy/553010-cto-izmenitsa-v-nalogah-dla-grazdan-i-biznesa-s-2026-goda" TargetMode="External"/><Relationship Id="rId16" Type="http://schemas.openxmlformats.org/officeDocument/2006/relationships/hyperlink" Target="https://politsturm.com/biudzhiet-rossii-niedoschitalsia-3-4-trilliona-rubl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