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Структурный тупик рынка недвижимости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2026-01-14</w:t>
      </w:r>
    </w:p>
    <w:p>
      <w:pPr/>
      <w:r>
        <w:t>1 мин. на чтение</w:t>
      </w:r>
    </w:p>
    <w:p/>
    <w:p>
      <w:r>
        <w:t>К 2026 году российский рынок жилья трансформировался в закрытый сегмент для финансового капитала, где высокая стоимость активов поддерживается вопреки резкому падению доступности жилья для большинства граждан.</w:t>
      </w:r>
    </w:p>
    <w:p>
      <w:r>
        <w:rPr>
          <w:b/>
        </w:rPr>
        <w:t>Детали.</w:t>
      </w:r>
      <w:r>
        <w:t xml:space="preserve"> Согласно данным на начало 2026 года, на первичном рынке сохраняется </w:t>
      </w:r>
      <w:hyperlink r:id="rId11">
        <w:r>
          <w:rPr>
            <w:color w:val="0000FF"/>
            <w:u w:val="single"/>
          </w:rPr>
          <w:t>рекордный объем нераспроданных площадей</w:t>
        </w:r>
      </w:hyperlink>
      <w:r>
        <w:t>, при этом застройщики избегают снижения цен, стремясь сохранить залоговую стоимость объектов перед банками.</w:t>
      </w:r>
    </w:p>
    <w:p>
      <w:r>
        <w:t xml:space="preserve">► Инвестиционный спрос сместился </w:t>
      </w:r>
      <w:hyperlink r:id="rId12">
        <w:r>
          <w:rPr>
            <w:color w:val="0000FF"/>
            <w:u w:val="single"/>
          </w:rPr>
          <w:t>в сторону банковских депозитов</w:t>
        </w:r>
      </w:hyperlink>
      <w:r>
        <w:t>, доходность которых стабильно превышает доходность от аренды или перепродажи жилья в массовом сегменте.</w:t>
      </w:r>
    </w:p>
    <w:p>
      <w:r>
        <w:t xml:space="preserve">► На фоне общего спада </w:t>
      </w:r>
      <w:hyperlink r:id="rId13">
        <w:r>
          <w:rPr>
            <w:color w:val="0000FF"/>
            <w:u w:val="single"/>
          </w:rPr>
          <w:t>сектор высокобюджетной недвижимости</w:t>
        </w:r>
      </w:hyperlink>
      <w:r>
        <w:t xml:space="preserve"> демонстрирует рост, что свидетельствует о сохранении платежеспособности лишь у наиболее обеспеченных слоев населения.</w:t>
      </w:r>
    </w:p>
    <w:p>
      <w:r>
        <w:rPr>
          <w:b/>
        </w:rPr>
        <w:t>Контекст.</w:t>
      </w:r>
      <w:r>
        <w:t xml:space="preserve"> Стагнация рынка стала следствием завершения эпохи «дешевых кредитов» и льготных программ в 2024–2025 годах, приведших к перегреву цен и росту долговой нагрузки.</w:t>
      </w:r>
    </w:p>
    <w:p>
      <w:r>
        <w:t>► Рекордная</w:t>
      </w:r>
      <w:hyperlink r:id="rId14">
        <w:r>
          <w:rPr>
            <w:color w:val="0000FF"/>
            <w:u w:val="single"/>
          </w:rPr>
          <w:t xml:space="preserve"> ключевая ставка 21%</w:t>
        </w:r>
      </w:hyperlink>
      <w:r>
        <w:t xml:space="preserve"> ЦБ в конце 2024-го фактически заблокировала классическую ипотеку для большинства наёмных работников, чьи доходы не позволяют обслуживать рыночные проценты. К 2026 году ставка снижена до 16%, но рынок остаётся замороженным.</w:t>
      </w:r>
    </w:p>
    <w:p>
      <w:r>
        <w:t xml:space="preserve">► На рынке </w:t>
      </w:r>
      <w:hyperlink r:id="rId15">
        <w:r>
          <w:rPr>
            <w:color w:val="0000FF"/>
            <w:u w:val="single"/>
          </w:rPr>
          <w:t>наблюдается ускоренная монополизация</w:t>
        </w:r>
      </w:hyperlink>
      <w:r>
        <w:t>: крупные девелоперы, аффилированные с госбанками, вытесняют средний и малый бизнес, консолидируя земельный фонд и строительные мощности.</w:t>
      </w:r>
    </w:p>
    <w:p>
      <w:r>
        <w:t xml:space="preserve">► Жилищная политика последних лет была ориентирована на поддержку строительного сектора как локомотива экономики, что привело к </w:t>
      </w:r>
      <w:hyperlink r:id="rId16">
        <w:r>
          <w:rPr>
            <w:color w:val="0000FF"/>
            <w:u w:val="single"/>
          </w:rPr>
          <w:t>отрыву цен от реальных доходов населения</w:t>
        </w:r>
      </w:hyperlink>
      <w:r>
        <w:t>.</w:t>
      </w:r>
    </w:p>
    <w:p>
      <w:r>
        <w:rPr>
          <w:b/>
        </w:rPr>
        <w:t>Важно знать.</w:t>
      </w:r>
      <w:r>
        <w:t xml:space="preserve"> В текущей экономической модели жилье используется прежде всего как финансовый актив и инструмент сохранения капитала, а не как социальное благо. Это создает парадокс «пустых новостроек» при сохранении дефицита доступных квадратных метров.</w:t>
      </w:r>
    </w:p>
    <w:p>
      <w:r>
        <w:t>► Внедрение системы эскроу-счетов завершило процесс подчинения строительной отрасли финансовому капиталу. Теперь банки извлекают прибыль на всех этапах: от кредитования девелоперов до долгосрочного получения процентов от ипотечных заемщиков.</w:t>
      </w:r>
    </w:p>
    <w:p>
      <w:r>
        <w:t>► Государственное регулирование направлено на поддержание стабильности банковской системы и застройщиков, что часто идет вразрез с интересами граждан, нуждающихся в снижении цен на жилье.</w:t>
      </w:r>
    </w:p>
    <w:p>
      <w:r>
        <w:t>► Происходит переход к модели «экономики рантье»: из-за недоступности собственности формируется устойчивый слой долгосрочных арендаторов, вынужденных отдавать значительную часть заработной платы владельцам недвижимости и управляющим корпорациям.</w:t>
      </w:r>
    </w:p>
    <w:p>
      <w:r>
        <w:t>► Текущая ситуация иллюстрирует классическое противоречие между общественным характером производства жилья и частной формой присвоения прибыли, где интересы рынка превалируют над потребностями общества.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trukturnyi-tupik-rynka-niedvizhimosti" TargetMode="External"/><Relationship Id="rId11" Type="http://schemas.openxmlformats.org/officeDocument/2006/relationships/hyperlink" Target="https://ria.ru/20260110/nedvizhimost-2064919066.html" TargetMode="External"/><Relationship Id="rId12" Type="http://schemas.openxmlformats.org/officeDocument/2006/relationships/hyperlink" Target="https://pro.rbc.ru/news/69524ea89a79477b3756cf2f" TargetMode="External"/><Relationship Id="rId13" Type="http://schemas.openxmlformats.org/officeDocument/2006/relationships/hyperlink" Target="https://finance.mail.ru/article/rariteco-faktory-sprosa-i-predlozheniya-chto-budet-s-rynkom-elitnyh-novostroek-v-2026-godu-69193560" TargetMode="External"/><Relationship Id="rId14" Type="http://schemas.openxmlformats.org/officeDocument/2006/relationships/hyperlink" Target="https://www.rbc.ru/quote/news/article/671a02f29a794781e14fdcb7" TargetMode="External"/><Relationship Id="rId15" Type="http://schemas.openxmlformats.org/officeDocument/2006/relationships/hyperlink" Target="https://erzrf.ru/top-zastroyshchikov" TargetMode="External"/><Relationship Id="rId16" Type="http://schemas.openxmlformats.org/officeDocument/2006/relationships/hyperlink" Target="https://www.kommersant.ru/doc/7958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