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Счетная палата выявила проблемы с изъятым имуществом коррупционеров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2025-11-03</w:t>
      </w:r>
    </w:p>
    <w:p>
      <w:pPr/>
      <w:r>
        <w:t>1 мин. на чтение</w:t>
      </w:r>
    </w:p>
    <w:p/>
    <w:p>
      <w:r>
        <w:t xml:space="preserve">Ведомство дало низкую оценку эффективности управления имуществом, изъятым у осужденных за коррупцию. По итогам проверки было установлено, что из 8776 имущественных объектов, изъятых в пользу государства с 2011 года, лишь 8% принесли казне реальный </w:t>
      </w:r>
      <w:hyperlink r:id="rId11">
        <w:r>
          <w:rPr>
            <w:color w:val="0000FF"/>
            <w:u w:val="single"/>
          </w:rPr>
          <w:t>доход</w:t>
        </w:r>
      </w:hyperlink>
      <w:r>
        <w:t xml:space="preserve">. </w:t>
      </w:r>
    </w:p>
    <w:p>
      <w:r>
        <w:t xml:space="preserve">Представитель Счетной палаты Андрей Батуркин сообщил, что доходы бюджета от приватизации имущества коррупционеров с 2021 года составили 3,2 млрд. Еще 832,2 млн рублей доходов было получено от передачи такого имущества в аренду. </w:t>
      </w:r>
    </w:p>
    <w:p>
      <w:r>
        <w:t xml:space="preserve">Чиновники считают, что устранение выявленных недочетов принесет государству до 10 млрд рублей дохода. В одном только 2022 г. суды взыскали в пользу государства собственность коррупционеров на сумму более 33 млрд рублей. </w:t>
      </w:r>
    </w:p>
    <w:p>
      <w:r>
        <w:t xml:space="preserve">Чиновники и эксперты называют причинами сложившейся ситуации системные проблемы и законодательные ограничения. С их слов сфера реализации изъятого в доход государства имущества полна правовых пробелов. </w:t>
      </w:r>
    </w:p>
    <w:p>
      <w:r>
        <w:t xml:space="preserve">Сами процедуры отличаются сложностью, длительностью сроков. Приватизация имущества коррупционеров, как указано в отчете Счетной палаты, идет медленно из-за нормативно установленных ограничений. </w:t>
      </w:r>
    </w:p>
    <w:p>
      <w:r>
        <w:t xml:space="preserve">Ведомство уже обратилось к правительству и Минфину с предложением по изменению законодательства о приватизации. По мнению инициаторов поправок, процедуры приватизации нуждаются в упрощении и ускорении.  </w:t>
      </w:r>
    </w:p>
    <w:p>
      <w:r>
        <w:t xml:space="preserve">В условиях кризиса экономики и ведения военных действий государственная власть вынуждена искать дополнительные источники дохода бюджета. В связи с этим органы власти обеспокоились проблемой, которая игнорировалась более десятилетия. </w:t>
      </w:r>
    </w:p>
    <w:p>
      <w:r>
        <w:t xml:space="preserve">Изъятие и реализация на рынке собственности коррупционеров никак не отразится на благосостоянии рядовых граждан и бюджетных тратах на их нужды. По сути, речь идет лишь о перераспределении собственности внутри правящего класса. </w:t>
      </w:r>
    </w:p>
    <w:p>
      <w:r>
        <w:t xml:space="preserve">Неэффективность сложившейся системы едва ли способна кого-то удивить. Известно, что при капитализме коррупция составляет органическую и неотъемлемую часть устройства власти. </w:t>
      </w:r>
    </w:p>
    <w:p>
      <w:r>
        <w:t xml:space="preserve">Все, что нарушает неприкосновенность частной собственности (даже собственности коррупционеров!), получает противодействие на всех уровнях государственной системы. </w:t>
      </w:r>
    </w:p>
    <w:p>
      <w:r>
        <w:t xml:space="preserve">Источники: </w:t>
      </w:r>
    </w:p>
    <w:p>
      <w:r>
        <w:t>[1] РБК — «</w:t>
      </w:r>
      <w:hyperlink r:id="rId11">
        <w:r>
          <w:rPr>
            <w:color w:val="0000FF"/>
            <w:u w:val="single"/>
          </w:rPr>
          <w:t>Счетная палата выявила проблемы с изъятым у коррупционеров имуществом»</w:t>
        </w:r>
      </w:hyperlink>
      <w:r>
        <w:t xml:space="preserve"> от 29 октября 2025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schietnaia-palata-vyiavila-probliemy-s-iziatym-imushchiestvom-korruptsionierov" TargetMode="External"/><Relationship Id="rId11" Type="http://schemas.openxmlformats.org/officeDocument/2006/relationships/hyperlink" Target="https://www.rbc.ru/economics/29/10/2025/690097069a7947fce2a31870?ysclid=mhgbzamlpa9617579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