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Сбер и другие банки продолжают наращивать прибыль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2026-08-15</w:t>
      </w:r>
    </w:p>
    <w:p>
      <w:pPr/>
      <w:r>
        <w:t>1 мин. на чтение</w:t>
      </w:r>
    </w:p>
    <w:p/>
    <w:p>
      <w:r>
        <w:rPr>
          <w:b/>
        </w:rPr>
        <w:t xml:space="preserve">За семь месяцев 2026 г. чистая прибыль Сбера </w:t>
      </w:r>
      <w:hyperlink r:id="rId12">
        <w:r>
          <w:rPr>
            <w:color w:val="0000FF"/>
            <w:u w:val="single"/>
          </w:rPr>
          <w:t>выросла</w:t>
        </w:r>
      </w:hyperlink>
      <w:r>
        <w:rPr>
          <w:b/>
        </w:rPr>
        <w:t xml:space="preserve"> на 19,8% по отношению к показателям прошлого года и составила 1,164 трлн рублей. </w:t>
      </w:r>
    </w:p>
    <w:p>
      <w:r>
        <w:rPr>
          <w:b/>
        </w:rPr>
        <w:t>Детали.</w:t>
      </w:r>
      <w:r>
        <w:t xml:space="preserve"> Рентабельность капитала (ROE) Сбера составляет 22,9%, а общий капитал банка оценивается в 8 трлн рублей. </w:t>
      </w:r>
    </w:p>
    <w:p>
      <w:r>
        <w:t xml:space="preserve">► Рост процентных доходов Сбера за семь месяцев 2026 г. составил 2,116 трлн рублей, что на 24,4% выше значения соответствующего периода 2025 г. </w:t>
      </w:r>
    </w:p>
    <w:p>
      <w:r>
        <w:t>► Комиссионные доходы Сбера сократились на 4,5%, что соответствует сумме в 61,5 млрд рублей.</w:t>
      </w:r>
    </w:p>
    <w:p>
      <w:r>
        <w:t xml:space="preserve">► Выручка Т-Банка </w:t>
      </w:r>
      <w:hyperlink r:id="rId13">
        <w:r>
          <w:rPr>
            <w:color w:val="0000FF"/>
            <w:u w:val="single"/>
          </w:rPr>
          <w:t>выросла</w:t>
        </w:r>
      </w:hyperlink>
      <w:r>
        <w:t xml:space="preserve"> на 31,2% по сравнению с предыдущим годом и составила 327,2 млрд рублей.</w:t>
      </w:r>
    </w:p>
    <w:p>
      <w:r>
        <w:t xml:space="preserve">► Председатель правления ВТБ Дмитрий Пьянов </w:t>
      </w:r>
      <w:hyperlink r:id="rId14">
        <w:r>
          <w:rPr>
            <w:color w:val="0000FF"/>
            <w:u w:val="single"/>
          </w:rPr>
          <w:t>заявил</w:t>
        </w:r>
      </w:hyperlink>
      <w:r>
        <w:t xml:space="preserve"> представителям СМИ, что несмотря на снижение доходов его банка, ВТБ в 2026 г. рассчитывает добиться рекордного финансового результата.</w:t>
      </w:r>
    </w:p>
    <w:p>
      <w:r>
        <w:rPr>
          <w:b/>
        </w:rPr>
        <w:t>Контекст.</w:t>
      </w:r>
      <w:r>
        <w:t xml:space="preserve"> Центробанк РФ  в мае 2026 г. </w:t>
      </w:r>
      <w:hyperlink r:id="rId15">
        <w:r>
          <w:rPr>
            <w:color w:val="0000FF"/>
            <w:u w:val="single"/>
          </w:rPr>
          <w:t>повысил прогноз</w:t>
        </w:r>
      </w:hyperlink>
      <w:r>
        <w:t xml:space="preserve"> по чистой прибыли российских банков с 3,3-3,8 трлн рублей до 3,4-3,9 трлн рублей. На 2027 г. Банк России </w:t>
      </w:r>
      <w:hyperlink r:id="rId16">
        <w:r>
          <w:rPr>
            <w:color w:val="0000FF"/>
            <w:u w:val="single"/>
          </w:rPr>
          <w:t>составил прогноз</w:t>
        </w:r>
      </w:hyperlink>
      <w:r>
        <w:t xml:space="preserve"> о прибыли банковского сектора в 3,7-4,2 трлн рублей.  </w:t>
      </w:r>
    </w:p>
    <w:p>
      <w:r>
        <w:t xml:space="preserve">► За первый квартал 2026 г. российские банки получили 1,23 трлн рублей чистой прибыли. Рост по сравнению с прошлым годом составил 66%. </w:t>
      </w:r>
    </w:p>
    <w:p>
      <w:r>
        <w:t xml:space="preserve">► Прибыль банков РФ в первом полугодии 2026 г. составила 2,4 трлн рублей, что на 40% больше показателей аналогичного периода прошлого года. </w:t>
      </w:r>
    </w:p>
    <w:p>
      <w:r>
        <w:rPr>
          <w:b/>
        </w:rPr>
        <w:t>Важно знать.</w:t>
      </w:r>
      <w:r>
        <w:t xml:space="preserve"> Банковский сектор составляет важнейшую часть капиталистической экономики. </w:t>
      </w:r>
      <w:hyperlink r:id="rId17">
        <w:r>
          <w:rPr>
            <w:color w:val="0000FF"/>
            <w:u w:val="single"/>
          </w:rPr>
          <w:t>Деградация</w:t>
        </w:r>
      </w:hyperlink>
      <w:r>
        <w:t xml:space="preserve"> промышленного и сельскохозяйственного производства, а также падение уровня жизни населения отнюдь не означают падение прибылей банков. ► На примере РФ видно, что даже в условиях </w:t>
      </w:r>
      <w:hyperlink r:id="rId18">
        <w:r>
          <w:rPr>
            <w:color w:val="0000FF"/>
            <w:u w:val="single"/>
          </w:rPr>
          <w:t>экономического кризиса</w:t>
        </w:r>
      </w:hyperlink>
      <w:r>
        <w:t xml:space="preserve"> банковский сектор продолжает наращивать прибыль.</w:t>
      </w:r>
    </w:p>
    <w:p>
      <w:r>
        <w:t>► Банки не только аккумулируют в денежной форме богатство, созданное руками трудящихся. Они выступают в роли организаторов и “доноров” производства, крупных участников биржевой торговли и валютного рынка.</w:t>
      </w:r>
    </w:p>
    <w:p>
      <w:r>
        <w:t xml:space="preserve">► Банки могут напрямую влиять на логистику, транспорт и энергетику. При капитализме именно потоки денежных средств, направляемых банками, приводят в движение фабрики и заводы, транспорт и технику, а также рабочих, занятых на капиталистических предприятиях.  Буржуазное государство не препятствует росту влияния банков, поскольку оно само существует именно для того, чтобы охранять положение крупного бизнеса.  </w:t>
      </w:r>
    </w:p>
    <w:p>
      <w:r>
        <w:t xml:space="preserve">► Рост прибылей банковского сектора не приводит к росту общественного благосостояния. Банки заняты перераспределением созданной рабочими прибавочной стоимости в пользу крупнейших капиталистов. Массовое разорение мелкого бизнеса и падение уровня жизни трудящихся для банков оборачиваются новыми горизонтами возможностей по увеличению прибыли.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sbier-i-drughiie-banki-prodolzhaiut-narashchivat-pribyl" TargetMode="External"/><Relationship Id="rId12" Type="http://schemas.openxmlformats.org/officeDocument/2006/relationships/hyperlink" Target="https://www.interfax.ru/business/1108630" TargetMode="External"/><Relationship Id="rId13" Type="http://schemas.openxmlformats.org/officeDocument/2006/relationships/hyperlink" Target="https://www.rbc.ru/finances/11/08/2026/6a7ad9189a7947d2b9250c78?ysclid=msos0hsov554974375" TargetMode="External"/><Relationship Id="rId14" Type="http://schemas.openxmlformats.org/officeDocument/2006/relationships/hyperlink" Target="https://www.rbc.ru/finances/28/07/2026/6a675b8a9a794708cbc4dab8?ysclid=msoumv62ag104631417" TargetMode="External"/><Relationship Id="rId15" Type="http://schemas.openxmlformats.org/officeDocument/2006/relationships/hyperlink" Target="https://www.interfax.ru/business/1091006" TargetMode="External"/><Relationship Id="rId16" Type="http://schemas.openxmlformats.org/officeDocument/2006/relationships/hyperlink" Target="https://blogs.forbes.ru/2026/08/06/pervoe-polugodie-bankov-rost-est-no-ne-vse-ozhidanija-investorov-opravdajutsja/?ysclid=msos0u7nwl651139557" TargetMode="External"/><Relationship Id="rId17" Type="http://schemas.openxmlformats.org/officeDocument/2006/relationships/hyperlink" Target="https://www.kommersant.ru/doc/8832487?ysclid=msqb2f8wib560158409" TargetMode="External"/><Relationship Id="rId18" Type="http://schemas.openxmlformats.org/officeDocument/2006/relationships/hyperlink" Target="https://www.vedomosti.ru/analytics/krupnyy_plan/articles/2026/05/15/1197449-ugrozhaet-li-rossiiskoi-ekonomike-retsessiya?ysclid=msqbjwi6r2296725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