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Саммит в Казани. Откажется ли Россия от доллара?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2026-06-21</w:t>
      </w:r>
    </w:p>
    <w:p>
      <w:pPr/>
      <w:r>
        <w:t>2 мин. на чтение</w:t>
      </w:r>
    </w:p>
    <w:p/>
    <w:p>
      <w:r>
        <w:t xml:space="preserve">В свете </w:t>
      </w:r>
      <w:hyperlink r:id="rId12">
        <w:r>
          <w:rPr>
            <w:color w:val="0000FF"/>
            <w:u w:val="single"/>
          </w:rPr>
          <w:t>прошедшего</w:t>
        </w:r>
      </w:hyperlink>
      <w:r>
        <w:t xml:space="preserve"> в Казани саммита АСЕАН вновь прозвучали </w:t>
      </w:r>
      <w:hyperlink r:id="rId13">
        <w:r>
          <w:rPr>
            <w:color w:val="0000FF"/>
            <w:u w:val="single"/>
          </w:rPr>
          <w:t>призывы</w:t>
        </w:r>
      </w:hyperlink>
      <w:r>
        <w:t xml:space="preserve"> к отказу от доллара США и переходу на расчёты в национальных валютах. Однако этот переход не устранит зависимости экономики России от мирового рынка. Проблема заключается не в конкретной денежной единице, а в капиталистической системе мирового хозяйства, где валюты являются инструментами борьбы между национальными монополиями, а издержки этой борьбы перекладываются на трудящихся. Пока сохраняются частная собственность, сырьевая ориентация экспорта и производство ради прибыли, экономические кризисы будут появляться независимо от того, используется доллар или национальная валюта.</w:t>
      </w:r>
    </w:p>
    <w:p>
      <w:r>
        <w:rPr>
          <w:b/>
          <w:i/>
        </w:rPr>
        <w:t xml:space="preserve">Детали. </w:t>
      </w:r>
      <w:r>
        <w:t xml:space="preserve">На встрече со странами Юго-Восточной Азии президент России </w:t>
      </w:r>
      <w:hyperlink r:id="rId14">
        <w:r>
          <w:rPr>
            <w:color w:val="0000FF"/>
            <w:u w:val="single"/>
          </w:rPr>
          <w:t>выступил</w:t>
        </w:r>
      </w:hyperlink>
      <w:r>
        <w:t xml:space="preserve"> с инициативой осуществить финансовые расчёты по коммерческим сделкам в национальных валютах.  </w:t>
      </w:r>
    </w:p>
    <w:p>
      <w:r>
        <w:t xml:space="preserve">► Саммит </w:t>
      </w:r>
      <w:hyperlink r:id="rId15">
        <w:r>
          <w:rPr>
            <w:color w:val="0000FF"/>
            <w:u w:val="single"/>
          </w:rPr>
          <w:t>был ориентирован</w:t>
        </w:r>
      </w:hyperlink>
      <w:r>
        <w:t xml:space="preserve"> на углубление сотрудничества в сферах энергетики, торговли, инвестиций и долгосрочных коммерческих проектов. </w:t>
      </w:r>
    </w:p>
    <w:p>
      <w:r>
        <w:t>► Объединение государств-участников образует пятую по величине экономику мира после США, Китая, Японии и Германии.</w:t>
      </w:r>
    </w:p>
    <w:p>
      <w:r>
        <w:rPr>
          <w:b/>
          <w:i/>
        </w:rPr>
        <w:t xml:space="preserve">Контекст. </w:t>
      </w:r>
      <w:r>
        <w:t xml:space="preserve">Запрос на углубление экономического взаимодействия происходит </w:t>
      </w:r>
      <w:hyperlink r:id="rId16">
        <w:r>
          <w:rPr>
            <w:color w:val="0000FF"/>
            <w:u w:val="single"/>
          </w:rPr>
          <w:t>на фоне</w:t>
        </w:r>
      </w:hyperlink>
      <w:r>
        <w:t xml:space="preserve"> дефицита федерального бюджета. Краткосрочное улучшение ситуации в связи с конфликтом на Ближнем Востоке не стало системным решением проблемы. </w:t>
      </w:r>
    </w:p>
    <w:p>
      <w:r>
        <w:t xml:space="preserve">► Переход на расчёты в национальных валютах рассматривается как способ снижения зависимости от доллара как международной резервной валюты. По сообщениями буржуазной пропаганды, данный механизм используется для </w:t>
      </w:r>
      <w:hyperlink r:id="rId17">
        <w:r>
          <w:rPr>
            <w:color w:val="0000FF"/>
            <w:u w:val="single"/>
          </w:rPr>
          <w:t>предотвращения</w:t>
        </w:r>
      </w:hyperlink>
      <w:r>
        <w:t xml:space="preserve"> девальвации, сдерживания инфляции и стимулирования инвестиций. </w:t>
      </w:r>
    </w:p>
    <w:p>
      <w:r>
        <w:t xml:space="preserve">► Ранее министр финансов РФ Силуанов </w:t>
      </w:r>
      <w:hyperlink r:id="rId18">
        <w:r>
          <w:rPr>
            <w:color w:val="0000FF"/>
            <w:u w:val="single"/>
          </w:rPr>
          <w:t>заявил</w:t>
        </w:r>
      </w:hyperlink>
      <w:r>
        <w:t xml:space="preserve"> о ненадежности доллара и необходимости его замещения в расчётах. </w:t>
      </w:r>
    </w:p>
    <w:p>
      <w:r>
        <w:t xml:space="preserve">► В то же время </w:t>
      </w:r>
      <w:hyperlink r:id="rId19">
        <w:r>
          <w:rPr>
            <w:color w:val="0000FF"/>
            <w:u w:val="single"/>
          </w:rPr>
          <w:t>высказывались оценки</w:t>
        </w:r>
      </w:hyperlink>
      <w:r>
        <w:t xml:space="preserve">, согласно которым полный отказ от доллара невозможен в силу сохранившегося товарооборота с недружественными странами, включая США. </w:t>
      </w:r>
    </w:p>
    <w:p>
      <w:r>
        <w:t xml:space="preserve">► Сохраняющаяся зависимость от доллара во многом обусловлена </w:t>
      </w:r>
      <w:hyperlink r:id="rId20">
        <w:r>
          <w:rPr>
            <w:color w:val="0000FF"/>
            <w:u w:val="single"/>
          </w:rPr>
          <w:t>торговлей нефтью</w:t>
        </w:r>
      </w:hyperlink>
      <w:r>
        <w:t xml:space="preserve">, которая традиционно котируется в американской валюте. </w:t>
      </w:r>
    </w:p>
    <w:p>
      <w:r>
        <w:t xml:space="preserve">► В 2025 году нефтегазовые доходы России </w:t>
      </w:r>
      <w:hyperlink r:id="rId21">
        <w:r>
          <w:rPr>
            <w:color w:val="0000FF"/>
            <w:u w:val="single"/>
          </w:rPr>
          <w:t>составили</w:t>
        </w:r>
      </w:hyperlink>
      <w:r>
        <w:t xml:space="preserve"> 22,7% от общего объёма доходов бюджета.</w:t>
      </w:r>
    </w:p>
    <w:p>
      <w:r>
        <w:rPr>
          <w:b/>
          <w:i/>
        </w:rPr>
        <w:t xml:space="preserve">Важно знать. </w:t>
      </w:r>
      <w:r>
        <w:t xml:space="preserve">Стремление к расчётам в национальных валютах отражает не отказ от капитализма, а обострение противоречий внутри мировой капиталистической системы. Национальные монополии стремятся ослабить зависимость от финансового господства США, но при этом сохраняют сами рыночные отношения. </w:t>
      </w:r>
    </w:p>
    <w:p>
      <w:r>
        <w:t xml:space="preserve">► По заявлениям экспертов укрепление рубля в условиях бюджетного дефицита может привести к дальнейшему сокращению нефтегазовых доходов. Ослабление национальной валюты, напротив, </w:t>
      </w:r>
      <w:hyperlink r:id="rId22">
        <w:r>
          <w:rPr>
            <w:color w:val="0000FF"/>
            <w:u w:val="single"/>
          </w:rPr>
          <w:t>увеличивает выручку</w:t>
        </w:r>
      </w:hyperlink>
      <w:r>
        <w:t xml:space="preserve"> экспортёров, поскольку российские товары становятся более конкурентоспособными на внешних рынках, что особенно значимо в условиях высокой доли сырьевого экспорта. Однако пока сохраняется капиталистическое производство, экономика остаётся зависимой от мирового рынка и его валютно-финансовой системы. Изменение формы расчётов может снизить влияние отдельных факторов, но в корне никак не изменит сущность этой зависимости.</w:t>
      </w:r>
    </w:p>
    <w:p>
      <w:r>
        <w:t xml:space="preserve">► Ослабление рубля способствует </w:t>
      </w:r>
      <w:hyperlink r:id="rId23">
        <w:r>
          <w:rPr>
            <w:color w:val="0000FF"/>
            <w:u w:val="single"/>
          </w:rPr>
          <w:t>дальнейшему росту</w:t>
        </w:r>
      </w:hyperlink>
      <w:r>
        <w:t xml:space="preserve"> инфляции, что может побудить Центральный банк принять решение о замедлении снижения ключевой ставки. Значительная часть финансовых ресурсов концентрируется в банковской системе и направляется на обслуживание государственного долга, тогда как инвестиции в расширение производства растут значительно медленнее. Это отражает противоречие рыночной экономики между финансовым капиталом и развитием производства.</w:t>
      </w:r>
    </w:p>
    <w:p>
      <w:r>
        <w:t xml:space="preserve">► Эти меры неизбежно ударят по реальным доходам трудящихся. Оплата труда в обесценивающейся национальной валюте приводит к тому, что при сохранении номинального размера заработной платы её реальная покупательная способность неуклонно снижается. Несомненно это на руку бизнесу, который, по сути, перекладывает свои расходы в виде инфляции на плечи наёмных работников. </w:t>
      </w:r>
    </w:p>
    <w:p>
      <w:r>
        <w:t>► При общественной собственности валютный курс перестаёт быть инструментом извлечения прибыли предпринимателями и не оказывает столь непосредственного влияния на уровень жизни рядовых граждан. Общественная собственность в условиях планового ведения хозяйства, ориентирована не на извлечение прибыли, а на удовлетворение общественных потребностей. В таком случае экономика государства функционирует в интересах трудящихся, а не олигархов, составляющих ничтожно малую группу по сравнению с огромным большинством простого народа.</w:t>
      </w:r>
    </w:p>
    <w:p>
      <w:r>
        <w:t>► Отказ от доллара сам по себе не меняет характера экономических отношений. Пока производство подчинено интересам прибыли, а экономика страны зависит от мирового рынка, валютные и финансовые кризисы будут воспроизводиться в новых формах. Подлинная экономическая самостоятельность невозможна без изменения самой основы хозяйства. Необходим переход от частной собственности и конкуренции к общественной собственности и планомерному развитию экономики в интересах простого народа.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ammit-v-kazani-otkazhietsia-li-rossiia-ot-dollara" TargetMode="External"/><Relationship Id="rId12" Type="http://schemas.openxmlformats.org/officeDocument/2006/relationships/hyperlink" Target="https://ria.ru/20260618/putin-2099671182.html" TargetMode="External"/><Relationship Id="rId13" Type="http://schemas.openxmlformats.org/officeDocument/2006/relationships/hyperlink" Target="https://tass.ru/ekonomika/27802543" TargetMode="External"/><Relationship Id="rId14" Type="http://schemas.openxmlformats.org/officeDocument/2006/relationships/hyperlink" Target="https://ria.ru/20260618/putin-2099672831.html?ysclid=mqkui70wvb788871711" TargetMode="External"/><Relationship Id="rId15" Type="http://schemas.openxmlformats.org/officeDocument/2006/relationships/hyperlink" Target="https://www.rbc.ru/rbcfreenews/6a33e5669a79477b87844975?ysclid=mqkukns7rb6618020&amp;utm_referrer=https%3A%2F%2Fyandex.ru%2F" TargetMode="External"/><Relationship Id="rId16" Type="http://schemas.openxmlformats.org/officeDocument/2006/relationships/hyperlink" Target="https://www.kommersant.ru/doc/8726948?ysclid=mqkut0td8n792220186" TargetMode="External"/><Relationship Id="rId17" Type="http://schemas.openxmlformats.org/officeDocument/2006/relationships/hyperlink" Target="https://www.vtb.ru/articles/perevody/valyutnaya-interventsiya-chto-eto-takoye-vidy-valyuty/" TargetMode="External"/><Relationship Id="rId18" Type="http://schemas.openxmlformats.org/officeDocument/2006/relationships/hyperlink" Target="https://iz.ru/1996464/silluanov-zaiavil-o-nenadezhnosti-dollara-i-ego-neispolzovanii-rossiei-izi" TargetMode="External"/><Relationship Id="rId19" Type="http://schemas.openxmlformats.org/officeDocument/2006/relationships/hyperlink" Target="https://www.gazeta.ru/business/news/2025/02/05/25012136.shtml?ysclid=mqkw82xdn2979192288" TargetMode="External"/><Relationship Id="rId20" Type="http://schemas.openxmlformats.org/officeDocument/2006/relationships/hyperlink" Target="https://ria.ru/20210619/dollar-1737661629.html?ysclid=mqjiiifyap98261826" TargetMode="External"/><Relationship Id="rId21" Type="http://schemas.openxmlformats.org/officeDocument/2006/relationships/hyperlink" Target="https://minfin.gov.ru/ru/press-center/?id_4=40181-minfin_snizhenie_syrevoi_zavisimosti_povysilo_ustoichivost_federalnogo_byudzheta&amp;ysclid=mqkznwf8tp202699806" TargetMode="External"/><Relationship Id="rId22" Type="http://schemas.openxmlformats.org/officeDocument/2006/relationships/hyperlink" Target="https://xn--80apaohbc3aw9e.xn--p1ai/article/kakoy-rubl-vygoden-rossii-slabyy-ili-krepkiy/?ysclid=mqjijpwkb8941928133#S6eS4rwNfR" TargetMode="External"/><Relationship Id="rId23" Type="http://schemas.openxmlformats.org/officeDocument/2006/relationships/hyperlink" Target="https://www.rbc.ru/finances/11/03/2026/69b17e979a79471238c8ba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