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ставок по ипотеке отрезал трудящихся от рынка жилья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2026-06-11</w:t>
      </w:r>
    </w:p>
    <w:p>
      <w:pPr/>
      <w:r>
        <w:t>1 мин. на чтение</w:t>
      </w:r>
    </w:p>
    <w:p/>
    <w:p>
      <w:r>
        <w:rPr>
          <w:b/>
        </w:rPr>
        <w:t>Сводные данные банковского сектора на начало июня 2026 года фиксируют запредельный рост коммерческих ставок по ипотечным кредитам. Финансовый капитал монополизировал жилищную сферу, превратив базовую потребность человека в источник ростовщической сверхприбыли и инструмент долгового закрепощения.</w:t>
      </w:r>
    </w:p>
    <w:p>
      <w:r>
        <w:rPr>
          <w:b/>
        </w:rPr>
        <w:t>Детали.</w:t>
      </w:r>
      <w:r>
        <w:t xml:space="preserve"> Согласно сводному обзору ставок в крупнейших российских банках на 3 июня 2026 года, средневзвешенная рыночная стоимость кредита на первичном рынке недвижимости зафиксировалась на отметке</w:t>
      </w:r>
      <w:hyperlink r:id="rId12">
        <w:r>
          <w:rPr>
            <w:color w:val="0000FF"/>
            <w:u w:val="single"/>
          </w:rPr>
          <w:t xml:space="preserve"> 19,11%</w:t>
        </w:r>
      </w:hyperlink>
      <w:r>
        <w:t xml:space="preserve">. </w:t>
      </w:r>
    </w:p>
    <w:p>
      <w:r>
        <w:rPr>
          <w:b/>
        </w:rPr>
        <w:t>Цитата</w:t>
      </w:r>
      <w:r>
        <w:t>. «...средняя ставка по ипотечным программам на вторичном рынке составляет 18,75%. Пиковые значения процентных ставок в отдельных коммерческих структурах, таких как Альфа-банк и Совкомбанк, достигли максимального уровня в</w:t>
      </w:r>
      <w:hyperlink r:id="rId12">
        <w:r>
          <w:rPr>
            <w:color w:val="0000FF"/>
            <w:u w:val="single"/>
          </w:rPr>
          <w:t xml:space="preserve"> 19,49%</w:t>
        </w:r>
      </w:hyperlink>
      <w:r>
        <w:t>».</w:t>
      </w:r>
    </w:p>
    <w:p>
      <w:r>
        <w:t>► На фоне заградительных рыночных ставок доступность оставшихся субсидируемых государственных программ под 6% законодательно ограничена узкими категориями заемщиков.</w:t>
      </w:r>
    </w:p>
    <w:p>
      <w:r>
        <w:rPr>
          <w:b/>
        </w:rPr>
        <w:t>Контекст.</w:t>
      </w:r>
      <w:r>
        <w:t xml:space="preserve"> Агрессивное удержание коммерческих ставок на уровне около 20% происходит на фоне жесткой денежно-кредитной политики Банка России, где ключевая ставка сохраняется на уровне 14,5%.</w:t>
      </w:r>
    </w:p>
    <w:p>
      <w:r>
        <w:t>► Высокая стоимость заемных средств обосновывается буржуазными экономистами необходимостью борьбы с инфляцией, которая по официальным отчетам Росстата на 1 июня уже ускорилась до</w:t>
      </w:r>
      <w:hyperlink r:id="rId13">
        <w:r>
          <w:rPr>
            <w:color w:val="0000FF"/>
            <w:u w:val="single"/>
          </w:rPr>
          <w:t xml:space="preserve"> 5,39%</w:t>
        </w:r>
      </w:hyperlink>
      <w:r>
        <w:t>.</w:t>
      </w:r>
    </w:p>
    <w:p>
      <w:r>
        <w:t>► Одновременно с этим портфель проектного финансирования застройщиков за первый квартал 2026 года увеличился до</w:t>
      </w:r>
      <w:hyperlink r:id="rId14">
        <w:r>
          <w:rPr>
            <w:color w:val="0000FF"/>
            <w:u w:val="single"/>
          </w:rPr>
          <w:t xml:space="preserve"> 10,3 трлн</w:t>
        </w:r>
      </w:hyperlink>
      <w:r>
        <w:t xml:space="preserve"> рублей, демонстрируя высокую концентрацию капитала в строительном секторе при падении реальной покупательной способности населения.</w:t>
      </w:r>
    </w:p>
    <w:p>
      <w:r>
        <w:rPr>
          <w:b/>
        </w:rPr>
        <w:t>Важно знать.</w:t>
      </w:r>
      <w:r>
        <w:t xml:space="preserve"> Складывающаяся ситуация на рынке жилья демонстрирует классическое проявление капиталистического противоречия, когда произведенный товар становится недоступным для его непосредственного потребителя — рабочего класса. При ставке кредитования почти в 20% наемный работник за тридцать лет ипотеки обязуется выплатить банковскому капиталу стоимость трех-четырех фактических квартир.</w:t>
      </w:r>
    </w:p>
    <w:p>
      <w:r>
        <w:t>► Долговая кабала такого масштаба выполняет прямую экономическую и дисциплинирующую функцию. Обремененный миллионными долгами пролетарий лишается мобильности и возможности отстаивать свои трудовые права, ведь любая угроза увольнения означает для него мгновенное изъятие жилья банком.</w:t>
      </w:r>
    </w:p>
    <w:p>
      <w:r>
        <w:t>► Государство, заявляя о поддержке строительной отрасли, субсидирует не трудящихся, а гарантирует сохранение нормы прибыли для строительных монополий и банковских структур. Таким образом все издержки кризиса и инфляции ложатся на плечи наемных работников.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t-stavok-po-ipotiekie-otriezal-trudiashchikhsia-ot-rynka-zhilia" TargetMode="External"/><Relationship Id="rId12" Type="http://schemas.openxmlformats.org/officeDocument/2006/relationships/hyperlink" Target="https://xn--h1alcedd.xn--d1aqf.xn--p1ai/news/obzor-stavok-po-ipoteke-v-bankakh-na-3-iyunya-2026-goda/" TargetMode="External"/><Relationship Id="rId13" Type="http://schemas.openxmlformats.org/officeDocument/2006/relationships/hyperlink" Target="https://www.vedomosti.ru/economics/news/2026/06/03/1202751-inflyatsiya-v-rossii" TargetMode="External"/><Relationship Id="rId14" Type="http://schemas.openxmlformats.org/officeDocument/2006/relationships/hyperlink" Target="https://www.cbr.ru/press/event/?id=32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