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Реальные ставки по кредиткам превысили 50%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2026-02-28</w:t>
      </w:r>
    </w:p>
    <w:p>
      <w:pPr/>
      <w:r>
        <w:t>1 мин. на чтение</w:t>
      </w:r>
    </w:p>
    <w:p/>
    <w:p>
      <w:r>
        <w:rPr>
          <w:b/>
        </w:rPr>
        <w:t xml:space="preserve">Стоимость обслуживания кредиток в России выросла до рекордных за пять лет значений. По </w:t>
      </w:r>
      <w:hyperlink r:id="rId11">
        <w:r>
          <w:rPr>
            <w:color w:val="0000FF"/>
            <w:u w:val="single"/>
          </w:rPr>
          <w:t xml:space="preserve">данным </w:t>
        </w:r>
      </w:hyperlink>
      <w:r>
        <w:rPr>
          <w:b/>
        </w:rPr>
        <w:t xml:space="preserve">“Скоринг Бюро”, полная стоимость кредита по кредитным картам к концу 2025 г. составила 50,1%.  </w:t>
      </w:r>
    </w:p>
    <w:p>
      <w:r>
        <w:rPr>
          <w:b/>
        </w:rPr>
        <w:t xml:space="preserve">Детали. </w:t>
      </w:r>
      <w:r>
        <w:t xml:space="preserve">Резкий рост ставок по кредитным картам в начале 2025 г. эксперты связывают с ужесточением денежно-кредитной политики правительства и санкционным давлением. Положительный эффект от снижения ключевой ставки Центробанком в данной области кредитования не наблюдается.   </w:t>
      </w:r>
    </w:p>
    <w:p>
      <w:r>
        <w:t xml:space="preserve">►  Весной 2022 г. полная стоимость кредитов по кредитным картам возросла до 34,9%, снизившись в следующем году до отметки в 30,1%. Однако уже в первом квартале 2025 г. этот показатель составил 45,9%. </w:t>
      </w:r>
    </w:p>
    <w:p>
      <w:r>
        <w:t>► К концу 2025 г. реальная ставка по ипотеке в России составляла 19,5%, по автокредитам – 21,7%, по потребительским кредитам – 37,3%.</w:t>
      </w:r>
    </w:p>
    <w:p>
      <w:r>
        <w:t xml:space="preserve">► За 2025 г. российские банки оформили физическим лицам 13,3 млн кредитных карт на общую сумму 1,34 трлн руб. Годом ранее сумма кредитования по картам была почти вдвое больше. </w:t>
      </w:r>
    </w:p>
    <w:p>
      <w:r>
        <w:rPr>
          <w:b/>
        </w:rPr>
        <w:t>Контекст</w:t>
      </w:r>
      <w:r>
        <w:t xml:space="preserve">. </w:t>
      </w:r>
      <w:hyperlink r:id="rId12">
        <w:r>
          <w:rPr>
            <w:color w:val="0000FF"/>
            <w:u w:val="single"/>
          </w:rPr>
          <w:t>По данным ЦБ</w:t>
        </w:r>
      </w:hyperlink>
      <w:r>
        <w:t xml:space="preserve">, на конец 2025 г. 49,7 млн граждан страны имели хотя бы один активный кредит. При этом более 62% домохозяйств находились в состоянии финансовой неустойчивости, тратя свыше 30% доходов на обслуживание долгов. </w:t>
      </w:r>
    </w:p>
    <w:p>
      <w:r>
        <w:t>► На конец 2025 г. совокупный долг домохозяйств по кредитам составлял 37,8 трлн руб.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Почти половина</w:t>
        </w:r>
      </w:hyperlink>
      <w:r>
        <w:t xml:space="preserve"> общего долга перед банками сосредоточена у людей с тремя и более кредитами. </w:t>
      </w:r>
    </w:p>
    <w:p>
      <w:r>
        <w:t>► Общий объем просроченной задолженности составил 292,85 млрд руб.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iealnyie-stavki-po-krieditkam-prievysili-50" TargetMode="External"/><Relationship Id="rId11" Type="http://schemas.openxmlformats.org/officeDocument/2006/relationships/hyperlink" Target="https://www.rbc.ru/finances/27/02/2026/69a06bcd9a79471b943d3940?ysclid=mm5317vgze674098433" TargetMode="External"/><Relationship Id="rId12" Type="http://schemas.openxmlformats.org/officeDocument/2006/relationships/hyperlink" Target="https://www.cbr.ru/press/event/?id=28166" TargetMode="External"/><Relationship Id="rId13" Type="http://schemas.openxmlformats.org/officeDocument/2006/relationships/hyperlink" Target="https://ruinformer.com/page/desjat-millionov-novyh-dolzhnikov-kak-rossija-voshla-v-2026-god-pod-kreditnym-press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