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Путин поручил защитить права мелких акционеров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2026-05-04</w:t>
      </w:r>
    </w:p>
    <w:p>
      <w:pPr/>
      <w:r>
        <w:t>2 мин. на чтение</w:t>
      </w:r>
    </w:p>
    <w:p/>
    <w:p>
      <w:r>
        <w:rPr>
          <w:b/>
        </w:rPr>
        <w:t>Намерения власти усилить защиту миноритарных акционеров являются попыткой стабилизировать рыночную систему и повысить доверие к рынку. Однако никоим образом не меняют сущности рыночных отношений. В условиях, где ключевые решения принимают крупные предприниматели, реальная защита мелких собственников носит формальный характер.</w:t>
      </w:r>
    </w:p>
    <w:p>
      <w:r>
        <w:rPr>
          <w:b/>
        </w:rPr>
        <w:t xml:space="preserve">Детали. </w:t>
      </w:r>
      <w:r>
        <w:t xml:space="preserve">В октябре 2025 года глава ЦБ РФ Эльвира Набиуллина заявила, что права частных инвесторов не должны быть нарушены при смене владельца </w:t>
      </w:r>
      <w:hyperlink r:id="rId12">
        <w:r>
          <w:rPr>
            <w:color w:val="0000FF"/>
            <w:u w:val="single"/>
          </w:rPr>
          <w:t>компании</w:t>
        </w:r>
      </w:hyperlink>
      <w:r>
        <w:t>.</w:t>
      </w:r>
    </w:p>
    <w:p>
      <w:r>
        <w:t xml:space="preserve">► Власти планировали изменить правила сроков давности по делам о приватизации, чтобы усилить защиту прав текущих собственников и снизить риски пересмотра старых приватизационных сделок. В 2024 году Российский союз промышленников и предпринимателей разработал поправки к существующему законодательству для защиты «порядочных </w:t>
      </w:r>
      <w:hyperlink r:id="rId13">
        <w:r>
          <w:rPr>
            <w:color w:val="0000FF"/>
            <w:u w:val="single"/>
          </w:rPr>
          <w:t>собственников</w:t>
        </w:r>
      </w:hyperlink>
      <w:r>
        <w:t>».</w:t>
      </w:r>
    </w:p>
    <w:p>
      <w:r>
        <w:rPr>
          <w:b/>
        </w:rPr>
        <w:t xml:space="preserve">Контекст. </w:t>
      </w:r>
      <w:r>
        <w:t xml:space="preserve">С 2022 года российские суды пересматривают приватизацию стратегических и оборонных предприятий с последующей передачей их в собственность Росимущества. В частности, если процесс приватизации предприятия не был согласован с федеральным центром, то весь пакет акций по решению суда могут теперь изъять в пользу </w:t>
      </w:r>
      <w:hyperlink r:id="rId14">
        <w:r>
          <w:rPr>
            <w:color w:val="0000FF"/>
            <w:u w:val="single"/>
          </w:rPr>
          <w:t>государства</w:t>
        </w:r>
      </w:hyperlink>
      <w:r>
        <w:t>.</w:t>
      </w:r>
    </w:p>
    <w:p>
      <w:r>
        <w:t>► Владельцы акций подразделяются на мажоритариев и миноритаев. Мажоритарии обладают контрольным пакетом и принимают ключевые решения в судьбе данной компании. Мажоритарием также может выступить и государство, контролируя до 50% акций общества.</w:t>
      </w:r>
    </w:p>
    <w:p>
      <w:r>
        <w:t>► «Миноритарии — это акционеры, владеющие небольшим количеством обычных или привилегированных акций, достаточно и одной». Они не входят в совет директоров компании, но их коллективный голос также может повлиять на судьбоносные решения в жизни предприятия.</w:t>
      </w:r>
    </w:p>
    <w:p>
      <w:r>
        <w:t xml:space="preserve">► В законодательстве РФ нет чёткого определения, какое количество акций делает инвестора миноритарием, обычно, достаточно иметь от одной и до 49% акций </w:t>
      </w:r>
      <w:hyperlink r:id="rId15">
        <w:r>
          <w:rPr>
            <w:color w:val="0000FF"/>
            <w:u w:val="single"/>
          </w:rPr>
          <w:t>предприятия</w:t>
        </w:r>
      </w:hyperlink>
      <w:r>
        <w:t>.</w:t>
      </w:r>
    </w:p>
    <w:p>
      <w:r>
        <w:t xml:space="preserve">► В 2022 г. Арбитражный суд Уральского округа передал государству 89% акций Соликамского магниевого завода из рук крупных акционеров. В то же время, суд изъял из рук частных инвесторов и остальные 11% акций. Миноритарии обжаловали это решение в вышестоящем суде, а Центробанк РФ оказал им </w:t>
      </w:r>
      <w:hyperlink r:id="rId16">
        <w:r>
          <w:rPr>
            <w:color w:val="0000FF"/>
            <w:u w:val="single"/>
          </w:rPr>
          <w:t>поддержку</w:t>
        </w:r>
      </w:hyperlink>
      <w:r>
        <w:t>.</w:t>
      </w:r>
    </w:p>
    <w:p>
      <w:r>
        <w:rPr>
          <w:b/>
        </w:rPr>
        <w:t xml:space="preserve">Важно знать. </w:t>
      </w:r>
      <w:r>
        <w:t>Власти пытаются легитимировать выборочное возвращение активов государству, одновременно заверяя в неизменности базовых принципов приватизации.</w:t>
      </w:r>
    </w:p>
    <w:p>
      <w:r>
        <w:t xml:space="preserve">► Таким образом, российские власти активно защищают капиталистический строй, а по сути право предпринимателей присваивать результаты чужого труда. В этом и состоит принцип обогащения владельцев частной собственности. В отношении предпринимательства этот принцип заключается в расширении за счет поглощений. Господство рыночных отношений и частной собственности порождают появление крупных бизнесменов из среды мелких и средних, вытесняющих остальных в конкурентной борьбе и тем самым подчиняющих себе рынок. </w:t>
      </w:r>
    </w:p>
    <w:p>
      <w:r>
        <w:t>► Вот почему все попытки представителей власти казаться независимой стороной в имущественных спорах являются иллюзией - они всегда на стороне богатейших. И теперь правительство намерено ограничить возможность пересмотра итогов приватизации, тем самым закрепив существующее распределение частной собственности за олигархами.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putin-poruchil-zashchitit-prava-mielkikh-aktsionierov" TargetMode="External"/><Relationship Id="rId12" Type="http://schemas.openxmlformats.org/officeDocument/2006/relationships/hyperlink" Target="https://www.rbc.ru/politics/27/04/2026/69ef1fde9a7947b31ecf731c" TargetMode="External"/><Relationship Id="rId13" Type="http://schemas.openxmlformats.org/officeDocument/2006/relationships/hyperlink" Target="https://www.rbc.ru/politics/03/02/2026/6981ad399a7947c63c9e75bb" TargetMode="External"/><Relationship Id="rId14" Type="http://schemas.openxmlformats.org/officeDocument/2006/relationships/hyperlink" Target="https://www.interfax.ru/russia/957772" TargetMode="External"/><Relationship Id="rId15" Type="http://schemas.openxmlformats.org/officeDocument/2006/relationships/hyperlink" Target="https://www.rbc.ru/quote/news/article/62d159769a7947013de91222" TargetMode="External"/><Relationship Id="rId16" Type="http://schemas.openxmlformats.org/officeDocument/2006/relationships/hyperlink" Target="https://www.kommersant.ru/doc/5354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