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Продажи элитного жилья в России выросли за год в полтора раза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2024-02-06</w:t>
      </w:r>
    </w:p>
    <w:p>
      <w:pPr/>
      <w:r>
        <w:t>1 мин. на чтение</w:t>
      </w:r>
    </w:p>
    <w:p/>
    <w:p>
      <w:r>
        <w:t xml:space="preserve">В Москве и Петербурге в 2023 году спрос на элитное жилье </w:t>
      </w:r>
      <w:hyperlink r:id="rId11">
        <w:r>
          <w:rPr>
            <w:color w:val="0000FF"/>
            <w:u w:val="single"/>
          </w:rPr>
          <w:t>вырос</w:t>
        </w:r>
      </w:hyperlink>
      <w:r>
        <w:t xml:space="preserve"> на 54% и 21%, соответственно. Об этом сообщают РБК со ссылкой на обзор аналитиков «Intermark Городская Недвижимость», телеканала 78 и данные консалтинговой компании NF Group.</w:t>
      </w:r>
    </w:p>
    <w:p>
      <w:r>
        <w:t>Представители компаний на рынке недвижимости предлагают своим клиентам больше вариантов для сделок, чтобы удовлетворить возросший спрос. Они отмечают, что сейчас востребованы разные виды жилья и на разных стадиях готовности. Дорогой “вторичкой” также интересуются потенциальные покупатели.</w:t>
      </w:r>
    </w:p>
    <w:p>
      <w:r>
        <w:t>Число сделок с элитными новостройками в Москве за 2023 год составило около 1000 против 650 в 2022 году. Среднюю стоимость одного квадратного метра на первичном рынке в этом классе жилья оценили в 1,5 млн рублей, а в Петербурге 630 тыс. рублей.</w:t>
      </w:r>
    </w:p>
    <w:p>
      <w:r>
        <w:t>Как сообщают СМИ, после повышения ключевой ставки Центробанка и ужесточения условий льготного кредитования, доля россиян, способных осилить покупку жилья, снизилась, а средний срок ипотеки растянулся и составил 26 лет. Зато Сбер в 2023 году зафиксировал рекордную чистую прибыль, которая в 5 раз превысила показатели 2022 года и была в значительной степени обеспечена ипотечным кредитованием.</w:t>
      </w:r>
    </w:p>
    <w:p>
      <w:r>
        <w:t>Не секрет, что позволить себе вложения в элитную недвижимость в столице могут только очень состоятельные граждане. И такая активность свидетельствует о наличии повышенного дохода у “сливок” общества. Вполне закономерная картина рыночной России - пока большинство населения нашей общей Родины нищает и рискует оказаться на улице, кто-то богатеет и инвестирует накопленные излишки.</w:t>
      </w:r>
    </w:p>
    <w:p>
      <w:r>
        <w:t>Капиталистический уклад общества неизбежно порождает социально-экономическую пропасть между людьми, разделяя их на классы. О причинах и последствиях этих классовых противоречий можно узнать из марксистско-ленинского учения. Присоединяйтесь, вступайте в кружки Политштурма.</w:t>
      </w:r>
    </w:p>
    <w:p>
      <w:r>
        <w:t xml:space="preserve">Источник: «РБК-Недвижимость» - </w:t>
      </w:r>
      <w:hyperlink r:id="rId11">
        <w:r>
          <w:rPr>
            <w:color w:val="0000FF"/>
            <w:u w:val="single"/>
          </w:rPr>
          <w:t>«Продажи элитного жилья в Москве выросли за год в 1,5 раза»</w:t>
        </w:r>
      </w:hyperlink>
      <w:r>
        <w:t xml:space="preserve"> от 25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dazhi-elitnogho-zhilia-v-rossii-vyrosli-za-ghod-v-poltora-raza" TargetMode="External"/><Relationship Id="rId11" Type="http://schemas.openxmlformats.org/officeDocument/2006/relationships/hyperlink" Target="https://realty.rbc.ru/news/65b262cc9a79475463e8ba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