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поддержало удвоение лимита сверхурочных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2025-12-11</w:t>
      </w:r>
    </w:p>
    <w:p>
      <w:pPr/>
      <w:r>
        <w:t>2 мин. на чтение</w:t>
      </w:r>
    </w:p>
    <w:p/>
    <w:p>
      <w:r>
        <w:rPr>
          <w:b/>
        </w:rPr>
        <w:t>Детали.</w:t>
      </w:r>
      <w:r>
        <w:t xml:space="preserve"> Правительственная комиссия по законопроектной деятельности 8 декабря 2025 года одобрила инициативу Минэкономразвития о внесении изменений в Трудовой кодекс РФ.</w:t>
      </w:r>
    </w:p>
    <w:p>
      <w:r>
        <w:t xml:space="preserve">► Главное нововведение — </w:t>
      </w:r>
      <w:hyperlink r:id="rId11">
        <w:r>
          <w:rPr>
            <w:color w:val="0000FF"/>
            <w:u w:val="single"/>
          </w:rPr>
          <w:t>увеличение годового лимита сверхурочной работы</w:t>
        </w:r>
      </w:hyperlink>
      <w:r>
        <w:t xml:space="preserve"> со 120 до 240 часов.</w:t>
      </w:r>
    </w:p>
    <w:p>
      <w:r>
        <w:t>Также предложен единый порядок оплаты сверхурочных:</w:t>
      </w:r>
    </w:p>
    <w:p>
      <w:pPr>
        <w:pStyle w:val="ListBullet"/>
        <w:numPr>
          <w:numId w:val="10"/>
        </w:numPr>
      </w:pPr>
      <w:r>
        <w:t>до 120 часов в год: первые два часа — в 1,5 раза выше обычной ставки, последующие — в 2 раза;</w:t>
      </w:r>
    </w:p>
    <w:p>
      <w:pPr>
        <w:pStyle w:val="ListBullet"/>
      </w:pPr>
      <w:r>
        <w:t xml:space="preserve">свыше 120 часов — оплачиваются в двойном размере. </w:t>
      </w:r>
    </w:p>
    <w:p>
      <w:r>
        <w:t>► Конкретные размеры доплат могут устанавливаться коллективным договором или соглашением сторон. Помимо этого, законопроект предусматривает ряд других изменений:</w:t>
      </w:r>
    </w:p>
    <w:p>
      <w:pPr>
        <w:pStyle w:val="ListBullet"/>
        <w:numPr>
          <w:numId w:val="11"/>
        </w:numPr>
      </w:pPr>
      <w:r>
        <w:t>расширение оснований для увольнения — в частности, при хищении на рабочем месте;</w:t>
      </w:r>
    </w:p>
    <w:p>
      <w:pPr>
        <w:pStyle w:val="ListBullet"/>
      </w:pPr>
      <w:r>
        <w:t>увеличение предельной численности персонала, с которым допустимо заключение срочных трудовых договоров, — с 35 до 70 человек;</w:t>
      </w:r>
    </w:p>
    <w:p>
      <w:pPr>
        <w:pStyle w:val="ListBullet"/>
      </w:pPr>
      <w:r>
        <w:t>отмена запрета на отзыв из непрерывного отпуска сотрудников, работающих во вредных или опасных условиях.</w:t>
      </w:r>
    </w:p>
    <w:p>
      <w:r>
        <w:t>► Предполагается, что реализация этих мер будет способствовать росту фонда рабочего времени и производительности труда, смягчению кадрового дефицита (особенно среди высококвалифицированных специалистов), а также повысит конкурентоспособность отдельных категорий работников.</w:t>
      </w:r>
    </w:p>
    <w:p>
      <w:r>
        <w:t xml:space="preserve"> </w:t>
      </w:r>
      <w:r>
        <w:rPr>
          <w:b/>
        </w:rPr>
        <w:t xml:space="preserve">Контекст. </w:t>
      </w:r>
      <w:r>
        <w:t>Авторы проекта отмечают, что сегодняшнее ограничение в 120 часов не позволяет оформлять сверхурочные в полном объёме как оплачиваемую переработку. По их данным, лишь 11% сотрудников, работающих сверх нормы, получают за это дополнительную оплату.</w:t>
      </w:r>
    </w:p>
    <w:p>
      <w:r>
        <w:t>► Официальной статистики по сверхурочному рабочему времени в РФ нет — Росстат учитывает продолжительность рабочего дня только по данным опросов, что не позволяет считать результаты такой оценки точными.</w:t>
      </w:r>
    </w:p>
    <w:p>
      <w:r>
        <w:t xml:space="preserve"> </w:t>
      </w:r>
      <w:r>
        <w:rPr>
          <w:b/>
        </w:rPr>
        <w:t>Важно знать.</w:t>
      </w:r>
      <w:r>
        <w:t xml:space="preserve"> В условиях рыночной экономики не может быть взаимопонимания между работодателем и работником, так как их интересы противоположны. Для наёмных работников стоит вопрос удовлетворения базовых потребностей, а для частных собственников – прибыли. </w:t>
      </w:r>
    </w:p>
    <w:p>
      <w:r>
        <w:t>► В условиях дефицита кадров работодатели компенсируют нехватку квалифицированных специалистов тем, что выжимают все соки из имеющихся работников для сохранения  своей прибыли.</w:t>
      </w:r>
    </w:p>
    <w:p>
      <w:r>
        <w:t>► Стоит отдельно упомянуть тот факт, что оплата труда за сверхурочные нисколько не отменят инфляцию, которая сведет на нет дополнительную оплату. Также работодатель может применять штрафные санкции к рабочим, чтобы сократить свои расходы на оплату труда. В этом случае широко разрекламированные государственными чиновниками “выгоды для тружеников” тоже будут нивелированы.</w:t>
      </w:r>
    </w:p>
    <w:p>
      <w:r>
        <w:t xml:space="preserve">► В условиях, когда реальные доходы граждан падают, бизнес при поддержке государства, заставляет людей </w:t>
      </w:r>
      <w:hyperlink r:id="rId12">
        <w:r>
          <w:rPr>
            <w:color w:val="0000FF"/>
            <w:u w:val="single"/>
          </w:rPr>
          <w:t>трудиться все больше</w:t>
        </w:r>
      </w:hyperlink>
      <w:r>
        <w:t xml:space="preserve">. Простые люди лишены времени на досуг, самообразование и воспитание детей. Им никто не возместит здоровье, которое безвозвратно утрачено из-за постоянно высоких нагрузок и переработок. Таким образом положение наёмных работников </w:t>
      </w:r>
      <w:hyperlink r:id="rId13">
        <w:r>
          <w:rPr>
            <w:color w:val="0000FF"/>
            <w:u w:val="single"/>
          </w:rPr>
          <w:t>продолжает ухудшаться</w:t>
        </w:r>
      </w:hyperlink>
      <w:r>
        <w:t xml:space="preserve">, в то время как крупные </w:t>
      </w:r>
      <w:hyperlink r:id="rId14">
        <w:r>
          <w:rPr>
            <w:color w:val="0000FF"/>
            <w:u w:val="single"/>
          </w:rPr>
          <w:t>бизнесмены продолжают богатеть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poddierzhalo-udvoieniie-limita-svierkhurochnykh" TargetMode="External"/><Relationship Id="rId11" Type="http://schemas.openxmlformats.org/officeDocument/2006/relationships/hyperlink" Target="https://www.forbes.ru/finansy/551519-pravitel-stvo-podderzalo-zakonoproekt-ob-udvoenii-limita-sverhurocnoj-raboty?utm_source=forbes&amp;utm_campaign=new_feed" TargetMode="External"/><Relationship Id="rId12" Type="http://schemas.openxmlformats.org/officeDocument/2006/relationships/hyperlink" Target="https://politsturm.com/8-chasovoi-rabochii-dien-mozhiet-uiti-v-proshloie" TargetMode="External"/><Relationship Id="rId13" Type="http://schemas.openxmlformats.org/officeDocument/2006/relationships/hyperlink" Target="https://politsturm.com/grazhdanie-rf-prodolzhaiut-nishchat" TargetMode="External"/><Relationship Id="rId14" Type="http://schemas.openxmlformats.org/officeDocument/2006/relationships/hyperlink" Target="https://politsturm.com/rossiiskiie-oligharkhi-razboghatieli-na-20-mlrd-doll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