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ПМЭФ-2026: за разговорами о росте экономики скрывается бедность трудящихся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2026-06-11</w:t>
      </w:r>
    </w:p>
    <w:p>
      <w:pPr/>
      <w:r>
        <w:t>1 мин. на чтение</w:t>
      </w:r>
    </w:p>
    <w:p/>
    <w:p>
      <w:r>
        <w:rPr>
          <w:b/>
        </w:rPr>
        <w:t>Заявления президента РФ на ПМЭФ-2026 о стабилизации инфляции и сбалансированном росте экономики призваны замаскировать углубление кризиса воспроизводства рабочей силы. В условиях капитализма экономические показатели растут не за счет эффективности, а путем усиления давления на наемных работников.</w:t>
      </w:r>
    </w:p>
    <w:p>
      <w:r>
        <w:rPr>
          <w:b/>
        </w:rPr>
        <w:t>Детали.</w:t>
      </w:r>
      <w:r>
        <w:t xml:space="preserve"> Выступая 5 июня на пленарной сессии Петербургского международного экономического форума (ПМЭФ-2026), президент РФ озвучил прогнозы развития текущего макроэкономического курса. </w:t>
      </w:r>
    </w:p>
    <w:p>
      <w:r>
        <w:rPr>
          <w:b/>
        </w:rPr>
        <w:t>Цитата</w:t>
      </w:r>
      <w:r>
        <w:t>. «...инфляция стабилизируется, а экономический рост сбалансирован и опирается на внутренний спрос. По итогам 2026 года она приблизится к</w:t>
      </w:r>
      <w:hyperlink r:id="rId12">
        <w:r>
          <w:rPr>
            <w:color w:val="0000FF"/>
            <w:u w:val="single"/>
          </w:rPr>
          <w:t xml:space="preserve"> 5,2%</w:t>
        </w:r>
      </w:hyperlink>
      <w:r>
        <w:t>».</w:t>
      </w:r>
    </w:p>
    <w:p>
      <w:r>
        <w:t>► Одновременно с праздничными декларациями на форуме остро встал вопрос о жестком дефиците кадров и требовании резко поднять производительность труда на заводах.</w:t>
      </w:r>
    </w:p>
    <w:p>
      <w:r>
        <w:rPr>
          <w:b/>
        </w:rPr>
        <w:t>Контекст.</w:t>
      </w:r>
      <w:r>
        <w:t xml:space="preserve"> Заявления на ПМЭФ звучат на фоне затяжного инфляционного давления внутри страны, когда реальная стоимость жизни для беднейших слоев населения увеличивается опережающими темпами.</w:t>
      </w:r>
    </w:p>
    <w:p>
      <w:r>
        <w:t>► Согласно оперативным отчетам Росстата, непосредственно перед форумом годовая инфляция в РФ уже ускорялась до</w:t>
      </w:r>
      <w:hyperlink r:id="rId13">
        <w:r>
          <w:rPr>
            <w:color w:val="0000FF"/>
            <w:u w:val="single"/>
          </w:rPr>
          <w:t xml:space="preserve"> 5,39%</w:t>
        </w:r>
      </w:hyperlink>
      <w:r>
        <w:t>, что выше успокаивающих прогнозов, озвученных с трибуны.</w:t>
      </w:r>
    </w:p>
    <w:p>
      <w:r>
        <w:t>► Текущий рост российского валового внутреннего продукта (ВВП) обусловлен в первую очередь масштабными государственными вливаниями в оборонно-промышленный комплекс и смежные отрасли в рамках специальной военной операции (СВО).</w:t>
      </w:r>
    </w:p>
    <w:p>
      <w:r>
        <w:rPr>
          <w:b/>
        </w:rPr>
        <w:t>Важно знать.</w:t>
      </w:r>
      <w:r>
        <w:t xml:space="preserve"> Официальные экономические прогнозы выполняют сугубо идеологическую функцию убаюкивания масс. Рапортуя о росте «внутреннего спроса», буржуазные чиновники умалчивают, что этот спрос стимулируется кредитной кабалой и вынужденными переработками трудящихся.</w:t>
      </w:r>
    </w:p>
    <w:p>
      <w:r>
        <w:t>► Номинальный рост заработных плат в дефицитных отраслях полностью нивелируется розничной инфляцией. Капитал через механизм цен мгновенно изымает у рабочего класса те денежные средства, которые государство направляет в экономику через госзаказы.</w:t>
      </w:r>
    </w:p>
    <w:p>
      <w:r>
        <w:t>► Требование «повысить производительность» в условиях нехватки рук означает лишь одно — интенсификацию труда текущих работников, увеличение рабочего дня и износ их физических сил в интересах крупного бизнеса.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politsturm.com/pmef-2026-za-razghovorami-o-rostie-ekonomiki-skryvaietsia-biednost-trudiashchikhsia" TargetMode="External"/><Relationship Id="rId12" Type="http://schemas.openxmlformats.org/officeDocument/2006/relationships/hyperlink" Target="https://www.interfax.ru/forumspb/1094308" TargetMode="External"/><Relationship Id="rId13" Type="http://schemas.openxmlformats.org/officeDocument/2006/relationships/hyperlink" Target="https://www.interfax.ru/business/1093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