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строительстве церквей в царской России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2020-06-19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rPr>
          <w:i/>
        </w:rPr>
        <w:t>“Правительство чует, что «храмы божии» — значительная опора для господствующего порядка вещей, и оно продолжает усиленную постройку церквей, особенно там, где начала развиваться промышленность, а с ней образовалось значительное скопление рабочего люда, например, по линии Сибирской ж. д. В 1899 г. вновь было построено в России 833 сооружения этого рода.</w:t>
      </w:r>
    </w:p>
    <w:p>
      <w:r>
        <w:rPr>
          <w:i/>
        </w:rPr>
        <w:t xml:space="preserve">Обслуживать все «храмы» православной церкви было призвано огромное число людей, можно сказать, целая армия”. </w:t>
      </w:r>
    </w:p>
    <w:p>
      <w:r>
        <w:rPr>
          <w:b/>
        </w:rPr>
        <w:t xml:space="preserve">В.Д.Бонч-Бруевич, </w:t>
      </w:r>
      <w:r>
        <w:rPr>
          <w:i/>
        </w:rPr>
        <w:t>Избранные атеистические произведения. М.: Мысль, 1973. С. 82-84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stroitelstve-cerkvey-v-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