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“Новые выборы” по старой системе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Российские партии увеличили расходы на организацию публичных мероприятий и пропаганды своих взглядов в преддверии новой избирательной кампании.</w:t>
      </w:r>
    </w:p>
    <w:p>
      <w:pPr>
        <w:pStyle w:val="IntenseQuote"/>
      </w:pPr>
    </w:p>
    <w:p>
      <w:r>
        <w:t>“Снижение доходов отразилось на уровне текущих расходов партий, однако траты на публичные мероприятия, агитацию и пропаганду большинство из них не секвестрировали, выяснил “Ъ”: наоборот, расходы большинства партий по этим статьям даже выросли”, — пишет Коммерсантъ.</w:t>
      </w:r>
    </w:p>
    <w:p>
      <w:pPr>
        <w:pStyle w:val="ListNumber"/>
        <w:numPr>
          <w:numId w:val="10"/>
        </w:numPr>
      </w:pPr>
      <w:r>
        <w:t>На международную деятельность Единая Россия потратила 589 тыс. рублей в 2021 году и 2,2 млн рублей в 2022 году;</w:t>
      </w:r>
    </w:p>
    <w:p>
      <w:pPr>
        <w:pStyle w:val="ListNumber"/>
      </w:pPr>
      <w:r>
        <w:t>На пропаганду КПРФ использовала 26 млн рублей в 2021 году и 40 млн рублей в 2022. Справедливая Россия расходовала 23 млн рублей в 2021 и дополнительные 44 млн рублей в кампании 2022 года. Единая Россия потратила 153 млн рублей в 2021 году и ещё 242 млн рублей в новой кампании 2022 года;</w:t>
      </w:r>
    </w:p>
    <w:p>
      <w:pPr>
        <w:pStyle w:val="ListNumber"/>
      </w:pPr>
      <w:r>
        <w:t>На публичные мероприятия КПРФ потратила 996 тыс. рублей в 2021 и 1,7 млн рублей в 2022 году. Справедливая Россия потратила 2 млн рублей в 2021 году и ещё 4,4 млн рублей в 2022. Единая Россия расходовала 83 млн рублей в 2021 и 730 млн рублей в 2022 году;</w:t>
      </w:r>
    </w:p>
    <w:p>
      <w:pPr>
        <w:pStyle w:val="IntenseQuote"/>
      </w:pPr>
    </w:p>
    <w:p>
      <w:r>
        <w:t>“Как хороший врач всегда думает о своих пациентах, так и политик всегда думает о выборах”, — говорит бывший депутат Государственной думы, руководитель политической партии «Яблоко» Григорий Явлинский.</w:t>
      </w:r>
    </w:p>
    <w:p>
      <w:r>
        <w:t xml:space="preserve">Новый </w:t>
      </w:r>
      <w:hyperlink r:id="rId11">
        <w:r>
          <w:rPr>
            <w:color w:val="0000FF"/>
            <w:u w:val="single"/>
          </w:rPr>
          <w:t>экономический кризис</w:t>
        </w:r>
      </w:hyperlink>
      <w:r>
        <w:t xml:space="preserve"> стремительно расшатывает общество, а противоречия рыночной системы, такие как безработица и закредитованность населения, вызывают рост антиправительственных настроений. Это и заставляет правящую верхушку расходовать больше денег на предвыборные программы, чтобы поддерживать свою власть и авторитет, сохранять веру в “справедливые выборы” в народе.</w:t>
      </w:r>
    </w:p>
    <w:p>
      <w:r>
        <w:t xml:space="preserve">Социал-демократические лозунги о священности </w:t>
      </w:r>
      <w:hyperlink r:id="rId12">
        <w:r>
          <w:rPr>
            <w:color w:val="0000FF"/>
            <w:u w:val="single"/>
          </w:rPr>
          <w:t>выборов</w:t>
        </w:r>
      </w:hyperlink>
      <w:r>
        <w:t xml:space="preserve"> и важности этого процесса звучат до сих пор. Они в своей сути призывают рабочих действовать безопасным для власти капиталистов образом – голосовать, какая группа господ будет их угнетать, призывают рабочих действовать в приемлемых законных рамках, установленных капиталистами. Но это не более, чем попытка внушить массам необходимость классового мира, что на деле является сохранением текущего строя, сохранением прибыли для предпринимателей и угнетения для народных масс. Вот в чем истинная суть подобных призывов и кампаний.</w:t>
      </w:r>
    </w:p>
    <w:p>
      <w:pPr>
        <w:pStyle w:val="IntenseQuote"/>
      </w:pPr>
      <w:r>
        <w:br/>
      </w:r>
    </w:p>
    <w:p>
      <w:r>
        <w:t>«Раз в несколько лет решать, какой член господствующего класса будет подавлять, раздавлять народ в парламенте, – вот в чем настоящая суть буржуазного парламентаризма, не только в парламентарно-конституционных монархиях, но и в самых демократических республиках»</w:t>
      </w:r>
    </w:p>
    <w:p>
      <w:r>
        <w:t>В.И.Ленин, ПСС, т.33, с.46.</w:t>
      </w:r>
    </w:p>
    <w:p>
      <w:r>
        <w:t xml:space="preserve">Источники: Коммерсантъ – </w:t>
      </w:r>
      <w:hyperlink r:id="rId13">
        <w:r>
          <w:rPr>
            <w:color w:val="0000FF"/>
            <w:u w:val="single"/>
          </w:rPr>
          <w:t>“Агитация времен спецоперации”</w:t>
        </w:r>
      </w:hyperlink>
      <w:r>
        <w:t xml:space="preserve"> от 26 августа 2022 г.</w:t>
      </w:r>
    </w:p>
    <w:p>
      <w:r>
        <w:t xml:space="preserve">Ваши Новости – </w:t>
      </w:r>
      <w:hyperlink r:id="rId14">
        <w:r>
          <w:rPr>
            <w:color w:val="0000FF"/>
            <w:u w:val="single"/>
          </w:rPr>
          <w:t>“Сколько России будет стоить новая Госдума: содержание партий, зарплаты и привилегии депутатов”</w:t>
        </w:r>
      </w:hyperlink>
      <w:r>
        <w:t xml:space="preserve"> от 05 октября 2021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ye-vybory-po-staroj-sisteme" TargetMode="External"/><Relationship Id="rId11" Type="http://schemas.openxmlformats.org/officeDocument/2006/relationships/hyperlink" Target="https://www.youtube.com/watch?v=dw2tptbf_Cw&amp;ab_channel=Politsturm" TargetMode="External"/><Relationship Id="rId12" Type="http://schemas.openxmlformats.org/officeDocument/2006/relationships/hyperlink" Target="https://www.youtube.com/watch?v=6WNiGVVpVz0&amp;ab_channel=Politsturm" TargetMode="External"/><Relationship Id="rId13" Type="http://schemas.openxmlformats.org/officeDocument/2006/relationships/hyperlink" Target="https://www.kommersant.ru/doc/5526674" TargetMode="External"/><Relationship Id="rId14" Type="http://schemas.openxmlformats.org/officeDocument/2006/relationships/hyperlink" Target="https://vnnews.ru/byudzhetnye-dengi-potrachennye-na-so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