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Новак предложил использовать накопления россиян для инвестиций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p>
      <w:pPr/>
      <w:r>
        <w:t>2026-10-03</w:t>
      </w:r>
    </w:p>
    <w:p>
      <w:pPr/>
      <w:r>
        <w:t>1 мин. на чтение</w:t>
      </w:r>
    </w:p>
    <w:p/>
    <w:p>
      <w:r>
        <w:rPr>
          <w:b/>
        </w:rPr>
        <w:t xml:space="preserve">Вице-премьер Александр Новак </w:t>
      </w:r>
      <w:hyperlink r:id="rId12">
        <w:r>
          <w:rPr>
            <w:color w:val="0000FF"/>
            <w:u w:val="single"/>
          </w:rPr>
          <w:t>заявил</w:t>
        </w:r>
      </w:hyperlink>
      <w:r>
        <w:rPr>
          <w:b/>
        </w:rPr>
        <w:t>, что долгосрочные накопления граждан могут стать источником финансирования для развития технологий и производства.</w:t>
      </w:r>
      <w:r>
        <w:t xml:space="preserve"> </w:t>
      </w:r>
    </w:p>
    <w:p>
      <w:r>
        <w:rPr>
          <w:b/>
        </w:rPr>
        <w:t xml:space="preserve">Детали. </w:t>
      </w:r>
      <w:r>
        <w:t xml:space="preserve">По мнению вице-премьера, сбережения граждан являются альтернативой банковскому кредиту, который из-за высоких процентных ставок становится все менее доступным для предприятий. </w:t>
      </w:r>
    </w:p>
    <w:p>
      <w:r>
        <w:t xml:space="preserve">►Методами использования накопленных россиянами средств Новак назвал развитие облигационного и акционерного финансирования с последующим участием компаний на бирже. Также предполагается расширение участия пенсионных фондов и страховых организаций в инвестициях. </w:t>
      </w:r>
    </w:p>
    <w:p>
      <w:r>
        <w:t xml:space="preserve">►Ранее президент Владимир Путин на пленарном заседании ПМЭФ 5 июня 2026 г. назвал запуск нового инвестиционного цикла “ключевой задачей экономических властей”. </w:t>
      </w:r>
    </w:p>
    <w:p>
      <w:r>
        <w:t xml:space="preserve">►11 июня 2026 г. глава Минэкономразвития Максим Решетников заявил о том, что общая инвестиционная активность в стране снижается. </w:t>
      </w:r>
    </w:p>
    <w:p>
      <w:r>
        <w:rPr>
          <w:b/>
        </w:rPr>
        <w:t xml:space="preserve">Контекст. </w:t>
      </w:r>
      <w:r>
        <w:t xml:space="preserve">Внесенный Правительством в Госдуму 30 сентября </w:t>
      </w:r>
      <w:hyperlink r:id="rId13">
        <w:r>
          <w:rPr>
            <w:color w:val="0000FF"/>
            <w:u w:val="single"/>
          </w:rPr>
          <w:t>проект</w:t>
        </w:r>
      </w:hyperlink>
      <w:r>
        <w:t xml:space="preserve"> бюджета отражает непростую ситуацию в российской экономике, основным источником финансирования в которой остаются государственные заимствования.</w:t>
      </w:r>
    </w:p>
    <w:p>
      <w:r>
        <w:t>►Проект бюджета предполагает вдвое больший по сравнению с бюджетом на 2026 г. объем дефицита - 7,345 трлн руб. (3,2% от ВВП) и госдолга, значение которого достигнет 54 трлн руб., или 21,7% от ВВП.</w:t>
      </w:r>
    </w:p>
    <w:p>
      <w:r>
        <w:t xml:space="preserve">►Расходы на “национальную оборону” возрастут до 17,1 трлн руб., что составит более трети от всех государственных расходов. Траты на образования и здравоохранение сократятся на 100 млрд руб. в каждой сфере, и составят 1,7 трлн руб. и 1,8 трлн руб. соответственно. 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politsturm.com/novak-priedlozhil-ispolzovat-nakoplieniia-rossiian-dlia-inviestitsii" TargetMode="External"/><Relationship Id="rId12" Type="http://schemas.openxmlformats.org/officeDocument/2006/relationships/hyperlink" Target="https://www.rbc.ru/finances/02/10/2026/6abf8511a31dad6d4d7ab79a?ysclid=mur6gnubsf711620695" TargetMode="External"/><Relationship Id="rId13" Type="http://schemas.openxmlformats.org/officeDocument/2006/relationships/hyperlink" Target="https://www.forbes.ru/finansy/569562-dva-scenaria-dla-ekonomiki-cto-nuzno-znat-o-novom-rossijskom-budzete-do-2029-goda?ysclid=mur6oh0xg2621786452&amp;utm_source=yandex.ru&amp;utm_medium=organic&amp;utm_campaign=yandex.ru&amp;utm_referrer=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