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Нефтяные доходы России упали на 20%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2026-02-01</w:t>
      </w:r>
    </w:p>
    <w:p>
      <w:pPr/>
      <w:r>
        <w:t>2 мин. на чтение</w:t>
      </w:r>
    </w:p>
    <w:p/>
    <w:p>
      <w:r>
        <w:rPr>
          <w:b/>
        </w:rPr>
        <w:t>Ужесточение санкционного давления в 2025 году привело к закономерному результату — резкому падению сырьевой ренты российского бюджета и вынужденному уходу крупного российского капитала с международных рынков в пользу западных инвестиционных гигантов.</w:t>
      </w:r>
    </w:p>
    <w:p>
      <w:r>
        <w:rPr>
          <w:b/>
        </w:rPr>
        <w:t xml:space="preserve">Детали. </w:t>
      </w:r>
      <w:r>
        <w:t xml:space="preserve">Согласно последним данным, доходы России от продажи нефти в 2025 году </w:t>
      </w:r>
      <w:hyperlink r:id="rId11">
        <w:r>
          <w:rPr>
            <w:color w:val="0000FF"/>
            <w:u w:val="single"/>
          </w:rPr>
          <w:t>сократились</w:t>
        </w:r>
      </w:hyperlink>
      <w:r>
        <w:t xml:space="preserve"> на 20% по сравнению с предыдущим годом. Это произошло на фоне ужесточения контроля за соблюдением ценового потолка и расширения списка санкционированных танкеров «теневого флота».</w:t>
      </w:r>
    </w:p>
    <w:p>
      <w:r>
        <w:t xml:space="preserve">► Разрыв в цене между эталонной маркой Brent и российской Urals в ноябре 2025 года </w:t>
      </w:r>
      <w:hyperlink r:id="rId12">
        <w:r>
          <w:rPr>
            <w:color w:val="0000FF"/>
            <w:u w:val="single"/>
          </w:rPr>
          <w:t>превысил</w:t>
        </w:r>
      </w:hyperlink>
      <w:r>
        <w:t xml:space="preserve"> $24 за баррель, хотя в предыдущие два года держался на уровне $15. В декабре 2025 года стоимость Urals падала до $39,18 за баррель, что критически ниже заложенных в бюджет показателей.</w:t>
      </w:r>
    </w:p>
    <w:p>
      <w:r>
        <w:t xml:space="preserve">► На этом фоне крупнейшая частная нефтяная компания России ЛУКОЙЛ </w:t>
      </w:r>
      <w:hyperlink r:id="rId13">
        <w:r>
          <w:rPr>
            <w:color w:val="0000FF"/>
            <w:u w:val="single"/>
          </w:rPr>
          <w:t xml:space="preserve">объявила </w:t>
        </w:r>
      </w:hyperlink>
      <w:r>
        <w:t>о продаже своих зарубежных активов (за исключением Казахстана). Покупателем выступает американская инвестиционная группа Carlyle. Сделка была заключена 29 января 2026 года, спустя несколько месяцев после попадания ЛУКОЙЛа под блокирующие санкции США.</w:t>
      </w:r>
    </w:p>
    <w:p>
      <w:r>
        <w:rPr>
          <w:b/>
        </w:rPr>
        <w:t xml:space="preserve">Контекст. </w:t>
      </w:r>
      <w:r>
        <w:t>Ситуация с доходами 2025 года демонстрирует накопительный эффект санкционных механизмов, к которым, по заявлениям российских властей, экономика якобы «выработала иммунитет».</w:t>
      </w:r>
    </w:p>
    <w:p>
      <w:r>
        <w:t xml:space="preserve">► В октябре 2025 года Минфин США </w:t>
      </w:r>
      <w:hyperlink r:id="rId14">
        <w:r>
          <w:rPr>
            <w:color w:val="0000FF"/>
            <w:u w:val="single"/>
          </w:rPr>
          <w:t xml:space="preserve">ввел </w:t>
        </w:r>
      </w:hyperlink>
      <w:r>
        <w:t>санкции против российских нефтяных компаний, что привело к усложнению расчетов и логистики. Президент РФ Владимир Путин заявлял, что сектор работает устойчиво, а вице-премьер Александр Новак указывал на переориентацию поставок. Однако статистика показывает, что «дружественные» покупатели Индия и Китай используют ситуацию для получения максимальных скидок, по сути изымая часть природной ренты в свою пользу.</w:t>
      </w:r>
    </w:p>
    <w:p>
      <w:r>
        <w:t xml:space="preserve">► Федеральный бюджет РФ уже испытывает дефицит нефтегазовых доходов. По </w:t>
      </w:r>
      <w:hyperlink r:id="rId15">
        <w:r>
          <w:rPr>
            <w:color w:val="0000FF"/>
            <w:u w:val="single"/>
          </w:rPr>
          <w:t>прогнозам</w:t>
        </w:r>
      </w:hyperlink>
      <w:r>
        <w:t xml:space="preserve"> Минфина, в январе 2026 года казна </w:t>
      </w:r>
      <w:hyperlink r:id="rId16">
        <w:r>
          <w:rPr>
            <w:color w:val="0000FF"/>
            <w:u w:val="single"/>
          </w:rPr>
          <w:t>недополучит</w:t>
        </w:r>
      </w:hyperlink>
      <w:r>
        <w:t xml:space="preserve"> 231,9 млрд рублей. Дефицит бюджета за 2025 год </w:t>
      </w:r>
      <w:hyperlink r:id="rId17">
        <w:r>
          <w:rPr>
            <w:color w:val="0000FF"/>
            <w:u w:val="single"/>
          </w:rPr>
          <w:t>достиг</w:t>
        </w:r>
      </w:hyperlink>
      <w:r>
        <w:t xml:space="preserve"> 2,6% ВВП, что в пять раз превышает плановые показатели.</w:t>
      </w:r>
    </w:p>
    <w:p>
      <w:r>
        <w:rPr>
          <w:b/>
        </w:rPr>
        <w:t xml:space="preserve">Важно знать. </w:t>
      </w:r>
      <w:r>
        <w:t>Продажа активов ЛУКОЙЛа американской Carlyle Group — это наглядный пример централизации капитала в масштабах мирового рынка. Санкционное давление искусственно снижает стоимость активов компаний из попавших в немилость стран, позволяя крупнейшим западным финансовым группам скупать их с дисконтом.</w:t>
      </w:r>
    </w:p>
    <w:p>
      <w:r>
        <w:t xml:space="preserve">► Падение нефтяных доходов напрямую влияет на положение рядовых россиян. Недополученная прибыль от экспорта ресурсов будет компенсироваться за счет внутренних источников: девальвации рубля (что удешевляет рабочую силу), роста налогов и </w:t>
      </w:r>
      <w:hyperlink r:id="rId18">
        <w:r>
          <w:rPr>
            <w:color w:val="0000FF"/>
            <w:u w:val="single"/>
          </w:rPr>
          <w:t>цен на товары и услуги</w:t>
        </w:r>
      </w:hyperlink>
      <w:r>
        <w:t xml:space="preserve">, сокращения социальных расходов бюджета (пенсии, </w:t>
      </w:r>
      <w:hyperlink r:id="rId19">
        <w:r>
          <w:rPr>
            <w:color w:val="0000FF"/>
            <w:u w:val="single"/>
          </w:rPr>
          <w:t>лекарства для льготников</w:t>
        </w:r>
      </w:hyperlink>
      <w:r>
        <w:t xml:space="preserve">, зарплаты в системах здравоохранения, образования и т.д.). </w:t>
      </w:r>
    </w:p>
    <w:p>
      <w:r>
        <w:t xml:space="preserve">► Текущий кризис показывает, что в условиях </w:t>
      </w:r>
      <w:hyperlink r:id="rId20">
        <w:r>
          <w:rPr>
            <w:color w:val="0000FF"/>
            <w:u w:val="single"/>
          </w:rPr>
          <w:t>империализма</w:t>
        </w:r>
      </w:hyperlink>
      <w:r>
        <w:t xml:space="preserve"> «суверенитет» сырьевой экономики ограничен интересами основных потребителей и владельцев финансовой инфраструктуры. Российский капитал, пытаясь сохранить прибыли, вынужден продавать активы конкурентам и перекладывает свои издержки на наёмных работников.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ieftianyie-dokhody-rossii-upali-na-20" TargetMode="External"/><Relationship Id="rId11" Type="http://schemas.openxmlformats.org/officeDocument/2006/relationships/hyperlink" Target="https://www.rbc.ru/economics/29/01/2026/697b02f89a79475eff36b91f" TargetMode="External"/><Relationship Id="rId12" Type="http://schemas.openxmlformats.org/officeDocument/2006/relationships/hyperlink" Target="https://oilprice.com/Latest-Energy-News/World-News/Sanctions-Pushed-Russian-Oil-Revenues-Lower-in-2025.html" TargetMode="External"/><Relationship Id="rId13" Type="http://schemas.openxmlformats.org/officeDocument/2006/relationships/hyperlink" Target="https://www.bloomberg.com/news/articles/2026-01-29/lukoil-agrees-to-sell-most-foreign-assets-to-carlyle-group" TargetMode="External"/><Relationship Id="rId14" Type="http://schemas.openxmlformats.org/officeDocument/2006/relationships/hyperlink" Target="https://www.reuters.com/business/energy/russias-oil-gas-budget-revenue-set-sink-46-january-reuters-calculations-show-2026-01-19/" TargetMode="External"/><Relationship Id="rId15" Type="http://schemas.openxmlformats.org/officeDocument/2006/relationships/hyperlink" Target="https://tass.ru/ekonomika/26206399" TargetMode="External"/><Relationship Id="rId16" Type="http://schemas.openxmlformats.org/officeDocument/2006/relationships/hyperlink" Target="https://www.rbc.ru/economics/15/01/2026/69690e4b9a794719a9b4c89b" TargetMode="External"/><Relationship Id="rId17" Type="http://schemas.openxmlformats.org/officeDocument/2006/relationships/hyperlink" Target="https://tass.ru/ekonomika/26187023" TargetMode="External"/><Relationship Id="rId18" Type="http://schemas.openxmlformats.org/officeDocument/2006/relationships/hyperlink" Target="https://politsturm.com/rossiiskii-biznies-ozhidaiet-infliatsiiu-v-9-3" TargetMode="External"/><Relationship Id="rId19" Type="http://schemas.openxmlformats.org/officeDocument/2006/relationships/hyperlink" Target="https://politsturm.com/lghotniki-ostaiutsia-biez-liekarstv" TargetMode="External"/><Relationship Id="rId20" Type="http://schemas.openxmlformats.org/officeDocument/2006/relationships/hyperlink" Target="https://politsturm.com/ob-impierializmie-i-tiekushchiem-miezhdunarodnom-polozhie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