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Нефтяники получили из бюджета 74,7 млрд компенсаций за два месяца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2026-02-05</w:t>
      </w:r>
    </w:p>
    <w:p>
      <w:pPr/>
      <w:r>
        <w:t>1 мин. на чтение</w:t>
      </w:r>
    </w:p>
    <w:p/>
    <w:p>
      <w:r>
        <w:t xml:space="preserve">Нефтяные компании получили 16,9 млрд руб. из федерального бюджета по </w:t>
      </w:r>
      <w:hyperlink r:id="rId11">
        <w:r>
          <w:rPr>
            <w:color w:val="0000FF"/>
            <w:u w:val="single"/>
          </w:rPr>
          <w:t>демпферному механизму</w:t>
        </w:r>
      </w:hyperlink>
      <w:r>
        <w:t xml:space="preserve"> - компенсации разницы между мировыми и внутренними ценами на топливо. Эта система, заявленная как “борьба с ростом цен на бензин”, на деле является инструментом перекачки народных средств в карманы бизнесменов. </w:t>
      </w:r>
    </w:p>
    <w:p>
      <w:r>
        <w:rPr>
          <w:b/>
        </w:rPr>
        <w:t xml:space="preserve">Детали. </w:t>
      </w:r>
      <w:r>
        <w:t xml:space="preserve">Осенью прошлого года в Госдуме </w:t>
      </w:r>
      <w:hyperlink r:id="rId12">
        <w:r>
          <w:rPr>
            <w:color w:val="0000FF"/>
            <w:u w:val="single"/>
          </w:rPr>
          <w:t>звучали популистские инициативы</w:t>
        </w:r>
      </w:hyperlink>
      <w:r>
        <w:t xml:space="preserve"> о заморозке цен до 1 октября 2026 года. Никаких постановлений от правительства по этому поводу так и не последовало. </w:t>
      </w:r>
    </w:p>
    <w:p>
      <w:r>
        <w:t>► Основным средством "сдерживания цен" объявлены демпферные выплаты. В декабре их сумма составила 57,8 млрд руб.</w:t>
      </w:r>
    </w:p>
    <w:p>
      <w:r>
        <w:t xml:space="preserve">► Данную практику внедрили </w:t>
      </w:r>
      <w:hyperlink r:id="rId13">
        <w:r>
          <w:rPr>
            <w:color w:val="0000FF"/>
            <w:u w:val="single"/>
          </w:rPr>
          <w:t>после соглашений</w:t>
        </w:r>
      </w:hyperlink>
      <w:r>
        <w:t xml:space="preserve"> 2018 года о "заморозке цен", что узаконило высокий уровень стоимости топлива на внутреннем рынке. </w:t>
      </w:r>
    </w:p>
    <w:p>
      <w:r>
        <w:rPr>
          <w:b/>
        </w:rPr>
        <w:t>Контекст.</w:t>
      </w:r>
      <w:r>
        <w:t xml:space="preserve"> Государственная политика в нефтяной сфере строится на двух основных механизмах поддержки: </w:t>
      </w:r>
      <w:hyperlink r:id="rId14">
        <w:r>
          <w:rPr>
            <w:color w:val="0000FF"/>
            <w:u w:val="single"/>
          </w:rPr>
          <w:t>слабой национальной валюте</w:t>
        </w:r>
      </w:hyperlink>
      <w:r>
        <w:t xml:space="preserve"> и прямых бюджетных выплатах. </w:t>
      </w:r>
    </w:p>
    <w:p>
      <w:r>
        <w:t xml:space="preserve">► Внутренний рынок служит "подушкой безопасности" для нефтяных корпораций. При падении мировых цен </w:t>
      </w:r>
      <w:hyperlink r:id="rId15">
        <w:r>
          <w:rPr>
            <w:color w:val="0000FF"/>
            <w:u w:val="single"/>
          </w:rPr>
          <w:t>прибыль сохраняется</w:t>
        </w:r>
      </w:hyperlink>
      <w:r>
        <w:t xml:space="preserve"> за счёт заморозки завышенных цен внутри страны, при росте - государство компенсирует "потери" через демпфер. </w:t>
      </w:r>
    </w:p>
    <w:p>
      <w:r>
        <w:t xml:space="preserve">► В 2018 году заморозка цен "совпала" с высоким уровнем стоимости топлива. После истечения срока соглашения его </w:t>
      </w:r>
      <w:hyperlink r:id="rId15">
        <w:r>
          <w:rPr>
            <w:color w:val="0000FF"/>
            <w:u w:val="single"/>
          </w:rPr>
          <w:t>рост продолжился</w:t>
        </w:r>
      </w:hyperlink>
      <w:r>
        <w:t xml:space="preserve">. </w:t>
      </w:r>
    </w:p>
    <w:p>
      <w:r>
        <w:t xml:space="preserve">► В 2025 году </w:t>
      </w:r>
      <w:hyperlink r:id="rId16">
        <w:r>
          <w:rPr>
            <w:color w:val="0000FF"/>
            <w:u w:val="single"/>
          </w:rPr>
          <w:t>резкий скачок цен</w:t>
        </w:r>
      </w:hyperlink>
      <w:r>
        <w:t xml:space="preserve">, вдвое опережающий инфляцию, был "сдержан" временным запретом на экспорт. Задачей было не снизить цену давлением на рынок, а только </w:t>
      </w:r>
      <w:hyperlink r:id="rId17">
        <w:r>
          <w:rPr>
            <w:color w:val="0000FF"/>
            <w:u w:val="single"/>
          </w:rPr>
          <w:t xml:space="preserve">стабилизировать высокие цены. </w:t>
        </w:r>
      </w:hyperlink>
    </w:p>
    <w:p>
      <w:r>
        <w:t xml:space="preserve">► Компании мгновенно ответили </w:t>
      </w:r>
      <w:hyperlink r:id="rId18">
        <w:r>
          <w:rPr>
            <w:color w:val="0000FF"/>
            <w:u w:val="single"/>
          </w:rPr>
          <w:t>"плановыми ремонтами"</w:t>
        </w:r>
      </w:hyperlink>
      <w:r>
        <w:t xml:space="preserve"> НПЗ, создав искусственный дефицит и оправдывая дальнейший рост цен "рыночными условиями".  </w:t>
      </w:r>
    </w:p>
    <w:p>
      <w:r>
        <w:rPr>
          <w:b/>
        </w:rPr>
        <w:t xml:space="preserve">Важно знать. </w:t>
      </w:r>
      <w:r>
        <w:t xml:space="preserve">Государство выступает защитником частных интересов. Оно удерживает завышенные цены и создаёт условия для их "обоснованного" роста. Нефтяные магнаты получают прибыль дважды: через карман потребителя и через бюджетные выплаты, финансируемые налогами трудящихся. </w:t>
      </w:r>
    </w:p>
    <w:p>
      <w:r>
        <w:t xml:space="preserve">► В результате граждане оплачивают обогащение олигархов напрямую через цены на топливо. И косвенно через </w:t>
      </w:r>
      <w:hyperlink r:id="rId19">
        <w:r>
          <w:rPr>
            <w:color w:val="0000FF"/>
            <w:u w:val="single"/>
          </w:rPr>
          <w:t>бюджетные средства</w:t>
        </w:r>
      </w:hyperlink>
      <w:r>
        <w:t>, которые пополняются налогами из карманов наёмных работников.</w:t>
      </w:r>
    </w:p>
    <w:p>
      <w:r>
        <w:t xml:space="preserve">► Социалистическая альтернатива имеет противоположную логику: при общественной собственности на те же нефтяные ресурсы вся прибыль идёт в общенародный бюджет и направляется на социальную политику. Государство из посредника в перераспределении богатств в пользу кучки богатых имён становится инструментом удовлетворения потребностей простого народа.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eftianiki-poluchili-iz-biudzhieta-74-7-mlrd-kompiensatsii-za-dva-miesiatsa" TargetMode="External"/><Relationship Id="rId11" Type="http://schemas.openxmlformats.org/officeDocument/2006/relationships/hyperlink" Target="https://www.kommersant.ru/doc/8400157" TargetMode="External"/><Relationship Id="rId12" Type="http://schemas.openxmlformats.org/officeDocument/2006/relationships/hyperlink" Target="https://ngs.ru/text/economics/2025/11/17/76125290/" TargetMode="External"/><Relationship Id="rId13" Type="http://schemas.openxmlformats.org/officeDocument/2006/relationships/hyperlink" Target="https://www.autonews.ru/news/66fbdc9a9a79473ef812728f" TargetMode="External"/><Relationship Id="rId14" Type="http://schemas.openxmlformats.org/officeDocument/2006/relationships/hyperlink" Target="https://www.forbes.ru/biznes/525905-na-cuzom-nescast-e-kto-v-rossii-polucaet-vygodu-ot-deval-vacii-rubla" TargetMode="External"/><Relationship Id="rId15" Type="http://schemas.openxmlformats.org/officeDocument/2006/relationships/hyperlink" Target="https://www.rbc.ru/business/13/11/2018/5be97d0f9a794725b4917905" TargetMode="External"/><Relationship Id="rId16" Type="http://schemas.openxmlformats.org/officeDocument/2006/relationships/hyperlink" Target="https://www.autonews.ru/news/68c7b63a9a79478bf75007f3" TargetMode="External"/><Relationship Id="rId17" Type="http://schemas.openxmlformats.org/officeDocument/2006/relationships/hyperlink" Target="https://www.autonews.ru/news/68886a959a794730c58cc93a" TargetMode="External"/><Relationship Id="rId18" Type="http://schemas.openxmlformats.org/officeDocument/2006/relationships/hyperlink" Target="https://www.kommersant.ru/doc/8379155" TargetMode="External"/><Relationship Id="rId19" Type="http://schemas.openxmlformats.org/officeDocument/2006/relationships/hyperlink" Target="https://rg.ru/2025/10/12/obnuleniiu-n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