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Немецкий генерал о царской и Красной армии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2017-05-09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«То, что солдаты Красной Армии продолжали сражаться в самых безнадежных ситуациях, совершенно не заботясь о собственной жизни, можно в значительной степени приписать храброму поведению комиссаров. Разница между Российской Императорской Армией в годы ПМВ и Красной Армией даже в самые первые дни германского вторжения была просто колоссальной. Если в прошлой войне русская армия сражалась как более или менее аморфная масса, малоподвижная, лишенная индивидуальностей, духовный подъем, вызванный идеями коммунизма, начал сказываться уже летом 1941 года»</w:t>
      </w:r>
    </w:p>
    <w:p>
      <w:r>
        <w:rPr>
          <w:b/>
        </w:rPr>
        <w:t>Генерал Эрхард Раус,</w:t>
      </w:r>
      <w:r>
        <w:t xml:space="preserve"> “Танковые сражения на Восточном фронте”.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emeckij-general-o-carskoj-i-krasnoj-ar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