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Названы топ-5 городов по росту цен на жильё в новостройках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2024-04-05</w:t>
      </w:r>
    </w:p>
    <w:p>
      <w:pPr/>
      <w:r>
        <w:t>3 мин. на чтение</w:t>
      </w:r>
    </w:p>
    <w:p/>
    <w:p>
      <w:r>
        <w:t xml:space="preserve">Согласно сообщениям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, в Челябинске за февраль 2024 года отмечен рост цен на 2,3% для квартир в новостройках. Так, по данным аналитиков из «Авито Недвижимости», Челябинск и Казань разделяют 4 место по месячному росту цен за февраль на первичное жильё среди российских городов-миллионников </w:t>
      </w:r>
      <w:hyperlink r:id="rId12">
        <w:r>
          <w:rPr>
            <w:color w:val="0000FF"/>
            <w:u w:val="single"/>
          </w:rPr>
          <w:t>[2]</w:t>
        </w:r>
      </w:hyperlink>
      <w:r>
        <w:t>. Возглавляет топ город Уфа с ростом на 4,3% со средней ценой в 148,3 тыс. рублей за квадратный метр жилплощади. В Челябинске средняя цена вышла на отметку в 110,7 тыс. рублей.</w:t>
      </w:r>
    </w:p>
    <w:p>
      <w:r>
        <w:t xml:space="preserve">Однако такая тенденция характерна также и для рынка вторичного жилья. Согласно данным экспертов в области недвижимости из «ЦИАН.Аналитики», за октябрь 2023 года подорожание вторичного жилья было заметнее всего в Челябинске, Омске и Набережных Челнах с ростом цен на 5,3%, 4,9% и 4,8%, соответственно </w:t>
      </w:r>
      <w:hyperlink r:id="rId13">
        <w:r>
          <w:rPr>
            <w:color w:val="0000FF"/>
            <w:u w:val="single"/>
          </w:rPr>
          <w:t>[3]</w:t>
        </w:r>
      </w:hyperlink>
      <w:r>
        <w:t xml:space="preserve">. </w:t>
      </w:r>
    </w:p>
    <w:p>
      <w:r>
        <w:t xml:space="preserve">Если рассматривать ситуацию по ценовому росту недвижимости в Челябинске, то лишь за 2023 год цена на вторичное жилье поднялась на 41%, а на первичное - на все 55% </w:t>
      </w:r>
      <w:hyperlink r:id="rId14">
        <w:r>
          <w:rPr>
            <w:color w:val="0000FF"/>
            <w:u w:val="single"/>
          </w:rPr>
          <w:t>[4]</w:t>
        </w:r>
      </w:hyperlink>
      <w:r>
        <w:t xml:space="preserve">. При этом даже рост среднемесячной заработной платы, и то в номинальном выражении, в Челябинской области составил лишь 16,2% за тот же год </w:t>
      </w:r>
      <w:hyperlink r:id="rId15">
        <w:r>
          <w:rPr>
            <w:color w:val="0000FF"/>
            <w:u w:val="single"/>
          </w:rPr>
          <w:t>[5]</w:t>
        </w:r>
      </w:hyperlink>
      <w:r>
        <w:t>, явно уступая “аппетитам” застройщиков жилья.</w:t>
      </w:r>
    </w:p>
    <w:p>
      <w:r>
        <w:t xml:space="preserve">Стоит отметить, что, в общей сложности, средняя цена только однокомнатной квартиры по России за четыре года, начиная с 2020 года, выросла на 64%, т. е. до суммы в 4,6 млн рублей </w:t>
      </w:r>
      <w:hyperlink r:id="rId16">
        <w:r>
          <w:rPr>
            <w:color w:val="0000FF"/>
            <w:u w:val="single"/>
          </w:rPr>
          <w:t>[6]</w:t>
        </w:r>
      </w:hyperlink>
      <w:r>
        <w:t>. При этом столь высокий рост цен аналитики связывают с возросшим спросом на жильё, “подогреваемым” вводом по стране программ льготного ипотечного кредитования для населения.</w:t>
      </w:r>
    </w:p>
    <w:p>
      <w:r>
        <w:t xml:space="preserve">Но несмотря на это, те же аналитики не забывают напоминать инвесторам недвижимости о необходимости поиска правильных финансовых вливаний в такой “выгодный момент” растущего спроса </w:t>
      </w:r>
      <w:hyperlink r:id="rId17">
        <w:r>
          <w:rPr>
            <w:color w:val="0000FF"/>
            <w:u w:val="single"/>
          </w:rPr>
          <w:t>[7]</w:t>
        </w:r>
      </w:hyperlink>
      <w:r>
        <w:t xml:space="preserve">. Примечателен также и тот факт, что “эксперты” не гнушаются в открытую продвигать спекулятивный характер таких инвестиций, оплата которых будет произведена за счёт роста зарплат трудового населения [и это в условиях повальной его закредитованности! </w:t>
      </w:r>
      <w:hyperlink r:id="rId18">
        <w:r>
          <w:rPr>
            <w:color w:val="0000FF"/>
            <w:u w:val="single"/>
          </w:rPr>
          <w:t>[8]</w:t>
        </w:r>
      </w:hyperlink>
      <w:r>
        <w:t xml:space="preserve"> – </w:t>
      </w:r>
      <w:r>
        <w:rPr>
          <w:i/>
        </w:rPr>
        <w:t>прим. ПШ</w:t>
      </w:r>
      <w:r>
        <w:t>].</w:t>
      </w:r>
    </w:p>
    <w:p>
      <w:pPr>
        <w:pStyle w:val="IntenseQuote"/>
      </w:pPr>
      <w:r>
        <w:t>«Экономически растущие города — лучшее вложение со спекулятивной точки зрения. С целью последующей перепродажи следует ориентироваться на города-миллионники с самым большим ростом заработной платы жителей», — советует партнер консалтинговой группы SRG Максим Русаков.</w:t>
      </w:r>
    </w:p>
    <w:p>
      <w:r>
        <w:t xml:space="preserve">Недавно ПШ также осветили подобную тему подорожания со стороны уже аренды на малогабаритные квартиры в России </w:t>
      </w:r>
      <w:hyperlink r:id="rId19">
        <w:r>
          <w:rPr>
            <w:color w:val="0000FF"/>
            <w:u w:val="single"/>
          </w:rPr>
          <w:t>[9]</w:t>
        </w:r>
      </w:hyperlink>
      <w:r>
        <w:t>.</w:t>
      </w:r>
    </w:p>
    <w:p>
      <w:r>
        <w:t xml:space="preserve">В нынешнем обществе товарного производства недвижимость на рынке является в первую очередь товаром. Цена любого выставляемого на продажу товара окончательно устанавливается и решается его непосредственным </w:t>
      </w:r>
      <w:r>
        <w:rPr>
          <w:i/>
        </w:rPr>
        <w:t>владельцем</w:t>
      </w:r>
      <w:r>
        <w:t xml:space="preserve">, а не некими силами “рыночного урегулирования” в балансе предложения и спроса. В условиях существующей ныне системы мирового капиталистического хозяйства таким </w:t>
      </w:r>
      <w:r>
        <w:rPr>
          <w:i/>
        </w:rPr>
        <w:t>владельцем</w:t>
      </w:r>
      <w:r>
        <w:t xml:space="preserve"> является класс капиталистов, т. е. класс частных собственников, владеющих средствами (например: помещениями, станками, машинами, конвейерным оборудованием и т. д.) для производства товаров.</w:t>
      </w:r>
    </w:p>
    <w:p>
      <w:r>
        <w:t xml:space="preserve">Однако простое владение на словах или “на бумаге” средствами производства не приближает их </w:t>
      </w:r>
      <w:r>
        <w:rPr>
          <w:i/>
        </w:rPr>
        <w:t>владельца</w:t>
      </w:r>
      <w:r>
        <w:t xml:space="preserve"> к получению необходимых товаров, а значит и к желаемой прибыли с их продажи. Для того чтобы получить товар, капиталисту требуется рабочая сила, способная его в конечном счёте произвести в виде продукта на тех же самых средствах производства, которые находятся у него во владении. Носителем такой рабочей силы является наёмный работник, класс наёмных рабочих, который вынужден искать работу у капиталиста для добычи средств на существование.</w:t>
      </w:r>
    </w:p>
    <w:p>
      <w:r>
        <w:t>Одно из главных и неразрешимых в рамках капитализма противоречий состоит в том, что подавляющее большинство людей в лице класса наёмных рабочих, не владеющих средствами производства, вынуждены за этими средствами трудиться и их же своим трудом производить за меньшую стоимость для горстки нанимателей в лице класса капиталистов, которые живут и наживаются только за счёт эксплуатации чужого труда. Рост цен на товары и не поспевающие за этим ростом заработные платы рабочих – одно из ярких тому примеров.</w:t>
      </w:r>
    </w:p>
    <w:p>
      <w:r>
        <w:t xml:space="preserve">Данное противоречие между общественным характером производства и частнокапиталистической формой присвоения его результатов было открыто и обосновано ещё в XIX веке Карлом Марксом, основоположником учения революционной и сознательной борьбы рабочего класса за своё освобождение от любых форм эксплуатации человека человеком. Также в начале XX века Владимир Ленин развил и доказал на практике действительную силу марксистской теории в виде построения самого мощного и действенного инструмента борьбы рабочих – пролетарской партии. И чтобы стать действительно свободными от классового гнёта и несправедливости, рабочим необходимо выработать в себе по-настоящему революционно-классовое сознание. </w:t>
      </w:r>
    </w:p>
    <w:p>
      <w:r>
        <w:t>Добиться этого можно, в первую очередь, посредством основательного изучения теории марксизма-ленинизма. Вступайте в ПШ для систематического изучения и освоения на деле марксистско-ленинской теории борьбы рабочего класса.</w:t>
      </w:r>
    </w:p>
    <w:p>
      <w:r>
        <w:t xml:space="preserve">Источники: [1] URA.RU – </w:t>
      </w:r>
      <w:hyperlink r:id="rId11">
        <w:r>
          <w:rPr>
            <w:color w:val="0000FF"/>
            <w:u w:val="single"/>
          </w:rPr>
          <w:t>«РБК: в Челябинске за месяц подорожали квартиры в новостройках»</w:t>
        </w:r>
      </w:hyperlink>
      <w:r>
        <w:t xml:space="preserve"> от 6 марта 2024 г.</w:t>
      </w:r>
    </w:p>
    <w:p>
      <w:r>
        <w:t xml:space="preserve">[2] РБК Недвижимость – </w:t>
      </w:r>
      <w:hyperlink r:id="rId12">
        <w:r>
          <w:rPr>
            <w:color w:val="0000FF"/>
            <w:u w:val="single"/>
          </w:rPr>
          <w:t>«Названы мегаполисы с максимальным подорожанием новостроек в феврале»</w:t>
        </w:r>
      </w:hyperlink>
      <w:r>
        <w:t xml:space="preserve"> от 20 марта 2024 г.</w:t>
      </w:r>
    </w:p>
    <w:p>
      <w:r>
        <w:t xml:space="preserve">[3] РБК Недвижимость – </w:t>
      </w:r>
      <w:hyperlink r:id="rId13">
        <w:r>
          <w:rPr>
            <w:color w:val="0000FF"/>
            <w:u w:val="single"/>
          </w:rPr>
          <w:t>«Эксперты назвали города — лидеры по росту цен на жилье»</w:t>
        </w:r>
      </w:hyperlink>
      <w:r>
        <w:t xml:space="preserve"> от 2 ноября 2023 г.</w:t>
      </w:r>
    </w:p>
    <w:p>
      <w:r>
        <w:t xml:space="preserve">[4] Коммерсант – </w:t>
      </w:r>
      <w:hyperlink r:id="rId14">
        <w:r>
          <w:rPr>
            <w:color w:val="0000FF"/>
            <w:u w:val="single"/>
          </w:rPr>
          <w:t>«Причины и последствия рекордного роста цен на жилье в Челябинске»</w:t>
        </w:r>
      </w:hyperlink>
      <w:r>
        <w:t xml:space="preserve"> от 27 декабря 2023 г.</w:t>
      </w:r>
    </w:p>
    <w:p>
      <w:r>
        <w:t xml:space="preserve">[5] Коммерсант – </w:t>
      </w:r>
      <w:hyperlink r:id="rId15">
        <w:r>
          <w:rPr>
            <w:color w:val="0000FF"/>
            <w:u w:val="single"/>
          </w:rPr>
          <w:t>«Реальные доходы жителей Челябинской области увеличились почти на 7% в 2023 году»</w:t>
        </w:r>
      </w:hyperlink>
      <w:r>
        <w:t xml:space="preserve"> от 12 марта 2024 г.</w:t>
      </w:r>
    </w:p>
    <w:p>
      <w:r>
        <w:t xml:space="preserve">[6] РБК – </w:t>
      </w:r>
      <w:hyperlink r:id="rId16">
        <w:r>
          <w:rPr>
            <w:color w:val="0000FF"/>
            <w:u w:val="single"/>
          </w:rPr>
          <w:t>«Однушки в России подорожали более чем в полтора раза за четыре года»</w:t>
        </w:r>
      </w:hyperlink>
      <w:r>
        <w:t xml:space="preserve"> от 30 ноября 2023 г.</w:t>
      </w:r>
    </w:p>
    <w:p>
      <w:r>
        <w:t xml:space="preserve">[7] РБК Недвижимость – </w:t>
      </w:r>
      <w:hyperlink r:id="rId17">
        <w:r>
          <w:rPr>
            <w:color w:val="0000FF"/>
            <w:u w:val="single"/>
          </w:rPr>
          <w:t>«Перспективные города для инвестиций: где выгодно покупать жилье в 2024-м»</w:t>
        </w:r>
      </w:hyperlink>
      <w:r>
        <w:t xml:space="preserve"> от 10 января 2024 г.</w:t>
      </w:r>
    </w:p>
    <w:p>
      <w:r>
        <w:t xml:space="preserve">[8] РБК Недвижимость – </w:t>
      </w:r>
      <w:hyperlink r:id="rId18">
        <w:r>
          <w:rPr>
            <w:color w:val="0000FF"/>
            <w:u w:val="single"/>
          </w:rPr>
          <w:t>«ЦБ сообщил о рекордной задолженности россиян по ипотеке»</w:t>
        </w:r>
      </w:hyperlink>
      <w:r>
        <w:t xml:space="preserve"> от 30 июня 2023 г.</w:t>
      </w:r>
    </w:p>
    <w:p>
      <w:r>
        <w:t xml:space="preserve">[9] ПШ – </w:t>
      </w:r>
      <w:hyperlink r:id="rId19">
        <w:r>
          <w:rPr>
            <w:color w:val="0000FF"/>
            <w:u w:val="single"/>
          </w:rPr>
          <w:t>«За год в России аренда малогабаритных квартир подорожала на 53.8%»</w:t>
        </w:r>
      </w:hyperlink>
      <w:r>
        <w:t xml:space="preserve"> от 27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azvany-top-5-ghorodov-po-rostu-tsien-na-zhilio-v-novostroikakh" TargetMode="External"/><Relationship Id="rId11" Type="http://schemas.openxmlformats.org/officeDocument/2006/relationships/hyperlink" Target="https://ura-news.turbopages.org/ura.news/s/news/1052740593" TargetMode="External"/><Relationship Id="rId12" Type="http://schemas.openxmlformats.org/officeDocument/2006/relationships/hyperlink" Target="https://realty-rbc-ru.turbopages.org/realty.rbc.ru/s/news/65f570bb9a7947e0169b49f9" TargetMode="External"/><Relationship Id="rId13" Type="http://schemas.openxmlformats.org/officeDocument/2006/relationships/hyperlink" Target="https://realty-rbc-ru.turbopages.org/realty.rbc.ru/s/news/654379409a79472fe645112f" TargetMode="External"/><Relationship Id="rId14" Type="http://schemas.openxmlformats.org/officeDocument/2006/relationships/hyperlink" Target="https://kommersant-ru.turbopages.org/kommersant.ru/s/doc/6410765" TargetMode="External"/><Relationship Id="rId15" Type="http://schemas.openxmlformats.org/officeDocument/2006/relationships/hyperlink" Target="https://kommersant-ru.turbopages.org/turbo/kommersant.ru/s/doc/6562176" TargetMode="External"/><Relationship Id="rId16" Type="http://schemas.openxmlformats.org/officeDocument/2006/relationships/hyperlink" Target="https://www.rbc.ru/business/30/11/2023/65678db39a79471ec8806191?fromtg=1" TargetMode="External"/><Relationship Id="rId17" Type="http://schemas.openxmlformats.org/officeDocument/2006/relationships/hyperlink" Target="https://www.google.com/amp/s/realty.rbc.ru/amp/news/659d30459a794793d078e077" TargetMode="External"/><Relationship Id="rId18" Type="http://schemas.openxmlformats.org/officeDocument/2006/relationships/hyperlink" Target="https://realty-rbc-ru.turbopages.org/turbo/realty.rbc.ru/s/news/649e94dc9a7947040ddbb871" TargetMode="External"/><Relationship Id="rId19" Type="http://schemas.openxmlformats.org/officeDocument/2006/relationships/hyperlink" Target="https://politsturm.com/za-ghod-v-rossii-arienda-maloghabaritnykh-kvartir-podorozhala-na-53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