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«Народные кандидаты» предпочитают дорогие иномарки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2026-07-26</w:t>
      </w:r>
    </w:p>
    <w:p>
      <w:pPr/>
      <w:r>
        <w:t>1 мин. на чтение</w:t>
      </w:r>
    </w:p>
    <w:p/>
    <w:p>
      <w:r>
        <w:rPr>
          <w:b/>
        </w:rPr>
        <w:t>Детали. «</w:t>
      </w:r>
      <w:r>
        <w:t xml:space="preserve">Почти 90% автомобилей кандидатов в Государственную думу это иномарки» следует из </w:t>
      </w:r>
      <w:hyperlink r:id="rId12">
        <w:r>
          <w:rPr>
            <w:color w:val="0000FF"/>
            <w:u w:val="single"/>
          </w:rPr>
          <w:t>данных деклараций.</w:t>
        </w:r>
      </w:hyperlink>
    </w:p>
    <w:p>
      <w:r>
        <w:t xml:space="preserve">► Среди автомобилей, указанных в декларациях кандидатов, встречаются модели стоимостью в десятки миллионов рублей. Например, цена </w:t>
      </w:r>
      <w:r>
        <w:rPr>
          <w:b/>
        </w:rPr>
        <w:t>Lamborghini Urus</w:t>
      </w:r>
      <w:r>
        <w:t xml:space="preserve"> в зависимости от комплектации начинается примерно от </w:t>
      </w:r>
      <w:r>
        <w:rPr>
          <w:b/>
        </w:rPr>
        <w:t>35–40 млн рублей</w:t>
      </w:r>
      <w:r>
        <w:t xml:space="preserve">, а некоторые версии </w:t>
      </w:r>
      <w:r>
        <w:rPr>
          <w:b/>
        </w:rPr>
        <w:t>Porsche</w:t>
      </w:r>
      <w:r>
        <w:t xml:space="preserve"> и представительских </w:t>
      </w:r>
      <w:r>
        <w:rPr>
          <w:b/>
        </w:rPr>
        <w:t>Mercedes-Benz</w:t>
      </w:r>
      <w:r>
        <w:t xml:space="preserve"> также оцениваются в десятки миллионов.  </w:t>
      </w:r>
    </w:p>
    <w:p>
      <w:r>
        <w:t>► Отечественные же марки особо не пользуются спросом среди кандидатов и поэтому составляют всего 11,6% от списка задекларированных.</w:t>
      </w:r>
    </w:p>
    <w:p>
      <w:r>
        <w:rPr>
          <w:b/>
        </w:rPr>
        <w:t>Контекст</w:t>
      </w:r>
      <w:r>
        <w:t xml:space="preserve">. Доход большинства россиян разными источниками определяется на уровне </w:t>
      </w:r>
      <w:hyperlink r:id="rId13">
        <w:r>
          <w:rPr>
            <w:color w:val="0000FF"/>
            <w:u w:val="single"/>
          </w:rPr>
          <w:t>74 000 рублей</w:t>
        </w:r>
      </w:hyperlink>
      <w:r>
        <w:t xml:space="preserve"> в месяц. Цены же на автомобили в 2026 г.  начинаются от 3,6 млн рублей - они выросли на 14% по сравнению с предыдущим 2025 годом по данным Автостата. Цена же автомобиля с пробегом оказалась на уровне 1,21 млн руб. - на 7% выше, </w:t>
      </w:r>
      <w:hyperlink r:id="rId14">
        <w:r>
          <w:rPr>
            <w:color w:val="0000FF"/>
            <w:u w:val="single"/>
          </w:rPr>
          <w:t>чем в 2025 году</w:t>
        </w:r>
      </w:hyperlink>
      <w:r>
        <w:t>, но и эта сумма остаётся недоступной для миллионов трудящихся.</w:t>
      </w:r>
    </w:p>
    <w:p>
      <w:r>
        <w:rPr>
          <w:b/>
        </w:rPr>
        <w:t xml:space="preserve">Важно знать. </w:t>
      </w:r>
      <w:r>
        <w:t xml:space="preserve">Высокая стоимость имущества значительной части «слуг народа» подчеркивает их принадлежность к наиболее обеспеченным слоям общества. Это усиливает разрыв между материальными условиями жизни политической «элиты» и большинства трудящихся. </w:t>
      </w:r>
    </w:p>
    <w:p>
      <w:r>
        <w:t>В капиталистическом обществе государственный аппарат формируется преимущественно из представителей обеспеченных классов или лиц, связанных с их интересами. Поэтому государственная политика объективно ориентируется прежде всего на сохранение частной собственности и рыночных отношений, а не на устранение социального неравенства.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narodnyie-kandidaty-priedpochitaiut-doroghiie-inomarki" TargetMode="External"/><Relationship Id="rId12" Type="http://schemas.openxmlformats.org/officeDocument/2006/relationships/hyperlink" Target="https://t.me/economica/26324" TargetMode="External"/><Relationship Id="rId13" Type="http://schemas.openxmlformats.org/officeDocument/2006/relationships/hyperlink" Target="https://ria.ru/20250731/zarplata-2032497292.html" TargetMode="External"/><Relationship Id="rId14" Type="http://schemas.openxmlformats.org/officeDocument/2006/relationships/hyperlink" Target="https://www.autonews.ru/news/69cf9c469a79477d1a55377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