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материалистическом понимании истории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2016-12-21</w:t>
      </w:r>
    </w:p>
    <w:p>
      <w:pPr/>
    </w:p>
    <w:p>
      <w:r/>
      <w:r>
        <w:t xml:space="preserve">Способ производства материальной жизни обусловливает социальный, политический и духовный процессы жизни вообще. </w:t>
      </w:r>
      <w:r>
        <w:rPr>
          <w:b/>
        </w:rPr>
        <w:t>Не сознание</w:t>
      </w:r>
      <w:r>
        <w:t xml:space="preserve"> людей определяет их бытие, а, наоборот, их </w:t>
      </w:r>
      <w:r>
        <w:rPr>
          <w:b/>
        </w:rPr>
        <w:t>общественное бытие</w:t>
      </w:r>
      <w:r>
        <w:t xml:space="preserve"> определяет их сознание.</w:t>
      </w:r>
      <w:r>
        <w:br/>
      </w:r>
      <w:r>
        <w:br/>
      </w:r>
      <w:r/>
    </w:p>
    <w:p>
      <w:r>
        <w:t>— К. Маркс, «К критике политической экономии». К. Маркс, Ф. Энгельс, Собр. соч., изд. 2, т. 13, с. 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materialisticheskom-ponimanii-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