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Ликбез: прибавочный труд</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2017-08-11</w:t>
      </w:r>
    </w:p>
    <w:p>
      <w:pPr/>
    </w:p>
    <w:p>
      <w:r/>
      <w:r>
        <w:br/>
      </w:r>
      <w:r>
        <w:br/>
      </w:r>
      <w:r/>
    </w:p>
    <w:p>
      <w:r>
        <w:rPr>
          <w:b/>
        </w:rPr>
        <w:t>Прибавочный труд</w:t>
      </w:r>
      <w:r>
        <w:t xml:space="preserve"> – труд, затрачиваемый трудящимися (эксплуатируемыми) классами на создание прибавочного продукта для удовлетворения потребностей собственников средств производства (эксплуататоров).</w:t>
      </w:r>
    </w:p>
    <w:p>
      <w:r>
        <w:t>Прибавочный труд коренится в неспособности и нежелании собственников средств производства самостоятельно добывать средства для своего существования. Таким образом эксплуататоры (рабовладельцы, помещики, капиталисты) заставляют тружеников работать вдвое больше нужного (часть времени труженики создают блага для себя, другую часть – для хозяина).</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likbez-pribavochnyj-tr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