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натуральное хозяйство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2017-11-05</w:t>
      </w:r>
    </w:p>
    <w:p>
      <w:pPr/>
    </w:p>
    <w:p>
      <w:r/>
      <w:r>
        <w:br/>
      </w:r>
      <w:r/>
    </w:p>
    <w:p>
      <w:r>
        <w:rPr>
          <w:b/>
        </w:rPr>
        <w:t>Натуральное хозяйство</w:t>
      </w:r>
      <w:r>
        <w:t xml:space="preserve"> – тип хозяйства, при котором производство направлено на удовлетворение собственных потребностей производителя без производства меновых стоимостей.</w:t>
      </w:r>
      <w:r>
        <w:br/>
      </w:r>
      <w:r>
        <w:br/>
        <w:t>Данный тип хозяйства преобладает на базисе личной зависимости (рабство и крепостничество), постепенно вытесняясь промышленным товарным производством.</w:t>
      </w:r>
      <w:r>
        <w:br/>
      </w:r>
      <w:r>
        <w:br/>
        <w:t>Для натурального хозяйства характерны замкнутость, ограниченность, традиционность и разобщённость производства, рутинная техника и медленные темпы развития.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ikbez-naturalnoe-xozyajst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