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диалектический материализм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Диалектический материализм</w:t>
      </w:r>
      <w:r>
        <w:t xml:space="preserve"> – философия марксизма-ленинизма, раскрывающая наиболее общие законы развития природы, общества и сознания. Вместе с тем диалектический материализм составляет фундаментальный метод познания марксистской теории и миросозерцание марксистско-ленинской партии в принципе.</w:t>
      </w:r>
    </w:p>
    <w:p>
      <w:r>
        <w:t>Материализм исходит из признания материи (объективной реальности) в качестве основы всего сущего, в качестве единственной основы мира. Сознание, дух, идеи и пр. есть порождение материи, свойство высокоорганизованной материи. Вместе с тем диалектический материализм признаёт взаимосвязь между материальным и идеальным, объективным и субъективным.</w:t>
      </w:r>
    </w:p>
    <w:p>
      <w:r>
        <w:t>Диалектика раскрывает всеобщую взаимосвязь вещей в мире и их динамичность, рассматривает явления как подверженные постоянным изменениям и развитию. В этой связи раскрываются наиболее общие законы развития: единство и борьба противоположностей; переход количественных изменений в качественные; отрицание отрицания. Каждый закон показывает причину, механизм и направление развития.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dialekticheskij-mater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