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Ленин о буржуазном национализме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2025-01-11</w:t>
      </w:r>
    </w:p>
    <w:p>
      <w:pPr/>
    </w:p>
    <w:p/>
    <w:p>
      <w:r>
        <w:t>«Воинствующий буржуазный национализм, отупляющий, одурачивающий, разъединяющий рабочих, чтобы вести их на поводу буржуазии, — вот основной факт современности.</w:t>
      </w:r>
    </w:p>
    <w:p>
      <w:r>
        <w:t xml:space="preserve">Кто хочет служить пролетариату, тот должен объединять рабочих всех наций, борясь неуклонно с буржуазным национализмом и «своим» и чужим». </w:t>
      </w:r>
      <w:r>
        <w:br/>
      </w:r>
      <w:r>
        <w:br/>
      </w:r>
      <w:r>
        <w:rPr>
          <w:b/>
        </w:rPr>
        <w:t xml:space="preserve">В.И.Ленин, </w:t>
      </w:r>
      <w:r>
        <w:t>ПСС т.24 с.122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lienin-o-burzhuaznom-natsionalizm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