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оппортунистах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2019-11-29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“Когда говорится о борьбе с оппортунизмом, не следует никогда забывать характерной черты всего современного оппортунизма во всех и всяческих областях: его неопределенности, расплывчатости, неуловимости. Оппортунист, по самой своей природе, уклоняется всегда от определенной и бесповоротной постановки вопроса, отыскивает равнодействующую, вьется ужом между исключающими одна другую точками зрения, стараясь “быть согласным” и с той и с другой, сводя свои разногласия к поправочкам, к сомнениям, к благим и невинным пожеланиям и проч. и проч”.</w:t>
      </w:r>
    </w:p>
    <w:p>
      <w:r>
        <w:rPr>
          <w:b/>
        </w:rPr>
        <w:t xml:space="preserve">В.И.Ленин, </w:t>
      </w:r>
      <w:r>
        <w:t>“Шаг вперед два шага назад”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opportunist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