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обострении классовой борьбы при кризисе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2020-04-08</w:t>
      </w:r>
    </w:p>
    <w:p>
      <w:pPr/>
    </w:p>
    <w:p>
      <w:r/>
      <w:r>
        <w:br/>
      </w:r>
      <w:r>
        <w:br/>
      </w:r>
      <w:r/>
    </w:p>
    <w:p>
      <w:r>
        <w:t>«Всеобщая дороговизна жизни, гнет объединенного в союзы, картели, тресты, синдикаты капитала и империалистическая политика держав делают невыносимым положение рабочих масс, обостряют борьбу капитала с трудом; быстро близится то время, когда будет положен конец капитализму, когда миллионы объединенных пролетариев создадут такое общественное устройство, в котором не будет нищеты масс, не будет эксплуатации человека человеком.»</w:t>
      </w:r>
    </w:p>
    <w:p>
      <w:r>
        <w:rPr>
          <w:b/>
        </w:rPr>
        <w:t>В.И.Ленин, ПСС, т.22 с.202.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obostrenii-klassovoj-borby-pri-krizi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