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смене лиц во власти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2020-01-17</w:t>
      </w:r>
    </w:p>
    <w:p>
      <w:pPr/>
    </w:p>
    <w:p>
      <w:r/>
      <w:r>
        <w:br/>
      </w:r>
      <w:r>
        <w:br/>
      </w:r>
      <w:r>
        <w:br/>
      </w:r>
      <w:r/>
    </w:p>
    <w:p>
      <w:pPr>
        <w:pStyle w:val="IntenseQuote"/>
      </w:pPr>
    </w:p>
    <w:p>
      <w:r>
        <w:t>Дело в классе, а не в лицах… Никакая смена лиц ничего изменить не в состоянии, пока не сменились классы, стоящие у власти.</w:t>
      </w:r>
    </w:p>
    <w:p>
      <w:r>
        <w:t xml:space="preserve"> </w:t>
      </w:r>
    </w:p>
    <w:p>
      <w:r>
        <w:rPr>
          <w:b/>
        </w:rPr>
        <w:t>В. И. Ленин «Правда» № 37, 4 мая (21 апреля) 1917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mene-lic-vo-v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