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гражданских войн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2019-10-10</w:t>
      </w:r>
    </w:p>
    <w:p>
      <w:pPr/>
    </w:p>
    <w:p>
      <w:r/>
      <w:r>
        <w:br/>
      </w:r>
      <w:r>
        <w:br/>
      </w:r>
      <w:r/>
    </w:p>
    <w:p>
      <w:r>
        <w:t>“Кто признает борьбу классов, тот не может не признавать гражданских войн, которые во всяком классовом обществе представляют естественное, при известных обстоятельствах неизбежное продолжение, развитие и обострение классовой борьбы.”</w:t>
      </w:r>
    </w:p>
    <w:p>
      <w:r>
        <w:rPr>
          <w:b/>
        </w:rPr>
        <w:t>В.И.Ленин, ПСС, т.30, с.133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oli-grazhdanskix-vo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