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революционной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2018-02-19</w:t>
      </w:r>
    </w:p>
    <w:p>
      <w:pPr/>
    </w:p>
    <w:p>
      <w:r/>
      <w:r>
        <w:br/>
      </w:r>
      <w:r>
        <w:br/>
      </w:r>
      <w:r/>
    </w:p>
    <w:p>
      <w:r>
        <w:t>Признавать революционную борьбу масс и мириться с исключительно легальной деятельностью социалистов в парламентах невозможно. Это ведет лишь к законному недовольству рабочих и к их уходу от социал-демократии в антипарламентский анархизм или синдикализм. Необходимо сказать ясно и во всеуслышание, что социал-демократы в парламентах должны пользоваться своим положением не только для выступлений в парламентах, но и для всестороннего внепарламентского содействия нелегальной организации и революционной борьбе рабочих и что массы сами должны, через свою нелегальную организацию, проверять такую деятельность своих вождей.</w:t>
      </w:r>
    </w:p>
    <w:p>
      <w:r>
        <w:t>В.И.Ленин т.27 с.291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onnoj-bor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