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причинах религиозности масс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2017-04-16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“Почему держится религия в отсталых слоях городского пролетариата, в широких слоях полупролетариата, а также в отсталых слоях крестьянства? По невежеству народа, — отвечает буржуазный прогрессист, радикал или буржуазный материалист. Следовательно, долой религию, да здравствует атеизм, распространение атеистических взглядов есть главная наша задача. Марксист говорит: неправда.</w:t>
      </w:r>
    </w:p>
    <w:p>
      <w:r>
        <w:t>Такой взгляд есть поверхностное, буржуазно-ограниченное культурничество. Такой взгляд недостаточно глубоко, не материалистически, а идеалистически объясняет корни религии. В современных капиталистических странах это корни, главным образом, социальные. Социальная придавленность трудящихся масс, кажущаяся полная беспомощность их перед слепыми силами капитализма, который причиняет ежедневно, и ежечасно в тысячу раз больше самых ужасных страданий, самых диких мучений рядовым рабочим людям, чем всякие из ряда вон выходящие события, в роде войн, землетрясений И т. д., вот в чем самый глубокий современный корень религии.</w:t>
      </w:r>
    </w:p>
    <w:p>
      <w:r>
        <w:t>«Страх создал богов». Страх перед слепой силой капитала, которая слепа, ибо не может быть предусмотрена массами народа, — которая на каждом шагу жизни пролетария и мелкого хозяйчика грозит принести ему, и приносит «внезапное», «неожиданное», «случайное» разорение, гибель, превращение в нищего, в паупера, в проститутку, голодную смерть, — вот тот корень современной религии, который прежде всего и больше всего должен иметь в виду материалист, если он не хочет оставаться материалистом приготовительного класса”.</w:t>
      </w:r>
    </w:p>
    <w:p>
      <w:r>
        <w:t>В.И.Ленин, т.15 ПСС , с. 374—375.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ichinax-religioznosti-m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