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правах человека в современности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2018-08-31</w:t>
      </w:r>
    </w:p>
    <w:p>
      <w:pPr/>
      <w:r>
        <w:t>1 мин. на чтение</w:t>
      </w:r>
    </w:p>
    <w:p>
      <w:r/>
      <w:r>
        <w:br/>
      </w:r>
      <w:r>
        <w:br/>
      </w:r>
      <w:r/>
    </w:p>
    <w:p>
      <w:r>
        <w:t>“…признание прав человека современным государством имеет такой же смысл, как признание рабства античным государством. А именно, подобно тому как античное государство имело своей естественной основой рабство, точно так же современное государство имеет своей естественной основой гражданское общество, равно как и человека гражданского общества, т. е. независимого человека, связанного с другим человеком только узами частного интереса и бессознательной естественной необходимости, раба своего промысла и своей собственной, а равно и чужой своекорыстной потребности. Современное государство признало эту свою естественную основу как таковую во всеобщих правах человека”</w:t>
      </w:r>
    </w:p>
    <w:p>
      <w:r>
        <w:rPr>
          <w:b/>
        </w:rPr>
        <w:t>В.И.Ленин, т.25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pravax-cheloveka-v-sovreme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