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единении с буржуазией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2017-06-04</w:t>
      </w:r>
    </w:p>
    <w:p>
      <w:pPr/>
    </w:p>
    <w:p>
      <w:r/>
      <w:r>
        <w:br/>
      </w:r>
      <w:r>
        <w:br/>
      </w:r>
      <w:r>
        <w:br/>
      </w:r>
      <w:r/>
    </w:p>
    <w:p>
      <w:r>
        <w:t>Пролетариат не может вести борьбы за социализм и отстаивать свои повседневные экономические интересы без самого тесного и полного союза рабочих всех наций во всех без исключения рабочих организациях.</w:t>
      </w:r>
    </w:p>
    <w:p>
      <w:r>
        <w:t>… Поэтому рабочий, ставящий политическое единение с буржуазией «своей» нации выше полного единства с пролетариями всех наций, поступает вопреки своим интересам, вопреки интересам социализма и интересам демократии.</w:t>
      </w:r>
    </w:p>
    <w:p>
      <w:r>
        <w:t>В.И. Ленин, ПСС т.23 с.316, “Тезисы по национальному вопросу”.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edinenii-s-burzhuaz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