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дальнейшем разгаре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2019-01-18</w:t>
      </w:r>
    </w:p>
    <w:p>
      <w:pPr/>
    </w:p>
    <w:p>
      <w:r/>
      <w:r>
        <w:br/>
      </w:r>
      <w:r>
        <w:br/>
      </w:r>
      <w:r>
        <w:br/>
      </w:r>
      <w:r/>
    </w:p>
    <w:p>
      <w:r>
        <w:t>“…нет ничего смехотворнее, когда говорят, что дальнейшее развитие революции, дальнейшее возмущение масс вызвано какой-либо отдельной партией, отдельной личностью или, как они кричат, волей «диктатора». Пожар революции воспламенился исключительно благодаря неимоверным страданиям России и всем условиям, созданным войною, которая круто и решительно поставила вопрос перед трудовым народом: либо смелый, отчаянный и бесстрашный шаг, либо погибай — умирай голодной смертью.”</w:t>
      </w:r>
    </w:p>
    <w:p>
      <w:r>
        <w:rPr>
          <w:b/>
        </w:rPr>
        <w:t>В.И.Ленин, т.35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dalnejshem-razgare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