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об организующей роли партии в классовой борьбе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2019-11-20</w:t>
      </w:r>
    </w:p>
    <w:p>
      <w:pPr/>
    </w:p>
    <w:p>
      <w:r/>
      <w:r>
        <w:br/>
      </w:r>
      <w:r>
        <w:br/>
      </w:r>
      <w:r>
        <w:br/>
      </w:r>
      <w:r/>
    </w:p>
    <w:p>
      <w:r>
        <w:t>«Никогда стихийное настроение и движение, каким бы положительным оно ни было, точно так же, как и благоприятные объективные условия, сами по себе не приводят, не приводили к победе без сознательной, организующей идейно-политической силы партии — и именной такой действенной, активной, построенной на основе великой теории марксизма-ленинизма была наша героическая партия большевиков.»</w:t>
      </w:r>
    </w:p>
    <w:p>
      <w:r>
        <w:rPr>
          <w:b/>
        </w:rPr>
        <w:t>Л.М.Каганович «Памятные записки»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ganovich-ob-organizuyushhej-roli-partii-v-klassovoj-bor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