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об антигуманистическом наследии империализма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«Империализм создал условия для расцвета расизма, шовинизма, человеконенавистничества. Ведь по сути российский царизм оказался в известной мере учителем немецкого гитлеризма и ныне процветающих в США и других империалистических странах расизма и шовинизма. В негритянских процессах мы видим отзвуки царской охранки и юстиции, состряпавших дело Бейлиса. Революция колониальных народов нанесла удар по расизму и империалистическому человеконенавистничеству, но нельзя думать, что с ним покончено. Наоборот, чем ближе могила империализма, тем острее он будет хвататься за расистские приемы и жестокости. Это надо помнить, особенно революционерам, коммунистам.»</w:t>
      </w:r>
    </w:p>
    <w:p>
      <w:r>
        <w:rPr>
          <w:b/>
        </w:rPr>
        <w:t>Л.М.Каганович «Памятные записки»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b-antigumanisticheskom-nasledii-imperi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