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Инфляция и дорогие кредиты ускоряют обнищание большинства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2026-05-22</w:t>
      </w:r>
    </w:p>
    <w:p>
      <w:pPr/>
      <w:r>
        <w:t>1 мин. на чтение</w:t>
      </w:r>
    </w:p>
    <w:p/>
    <w:p>
      <w:r>
        <w:rPr>
          <w:b/>
        </w:rPr>
        <w:t>Разрыв между официальной статистикой и реальной инфляцией в России продолжает расти, перекладывая все издержки экономического кризиса на плечи рабочего класса.</w:t>
      </w:r>
    </w:p>
    <w:p>
      <w:r>
        <w:rPr>
          <w:b/>
        </w:rPr>
        <w:t>Детали.</w:t>
      </w:r>
      <w:r>
        <w:t xml:space="preserve"> Согласно майским экономическим обзорам, которые публикует</w:t>
      </w:r>
      <w:hyperlink r:id="rId12">
        <w:r>
          <w:rPr>
            <w:color w:val="0000FF"/>
            <w:u w:val="single"/>
          </w:rPr>
          <w:t xml:space="preserve"> Интерфакс</w:t>
        </w:r>
      </w:hyperlink>
      <w:r>
        <w:t xml:space="preserve">, инфляционные ожидания населения вплотную приблизились к критическим отметкам, отражая реальное падение покупательной способности. </w:t>
      </w:r>
    </w:p>
    <w:p>
      <w:r>
        <w:t>► Среди наименее защищенных слоев граждан, не имеющих финансовых сбережений, наблюдаемый уровень роста цен кратно опережает официальные цифры Росстата.</w:t>
      </w:r>
    </w:p>
    <w:p>
      <w:r>
        <w:rPr>
          <w:b/>
        </w:rPr>
        <w:t>Контекст.</w:t>
      </w:r>
      <w:r>
        <w:t xml:space="preserve"> Рост стоимости жизни в стране сопровождается удорожанием заемных средств и стремительным падением доступности жилья для большинства наемных работников. </w:t>
      </w:r>
    </w:p>
    <w:p>
      <w:r>
        <w:t>► Крупные производители и розничные торговые сети компенсируют свои логистические издержки и падение нормы прибыли повышением цен на товары первой необходимости.</w:t>
      </w:r>
    </w:p>
    <w:p>
      <w:r>
        <w:t xml:space="preserve"> ► Для домохозяйств с низкими доходами продукты питания, аренда жилья и тарифы ЖКХ составляют до 80% всех расходов, из-за чего локальный рост цен бьет по ним сильнее всего. </w:t>
      </w:r>
    </w:p>
    <w:p>
      <w:r>
        <w:t>► Рекордное повышение ключевой ставки финансовым регулятором, зафиксированное в майских</w:t>
      </w:r>
      <w:hyperlink r:id="rId13">
        <w:r>
          <w:rPr>
            <w:color w:val="0000FF"/>
            <w:u w:val="single"/>
          </w:rPr>
          <w:t xml:space="preserve"> отчетах</w:t>
        </w:r>
      </w:hyperlink>
      <w:r>
        <w:t xml:space="preserve"> Центробанка, сделало ипотечные программы и потребительское кредитование фактически недоступными для рядовых трудящихся.</w:t>
      </w:r>
    </w:p>
    <w:p>
      <w:r>
        <w:rPr>
          <w:b/>
        </w:rPr>
        <w:t>Важно знать.</w:t>
      </w:r>
      <w:r>
        <w:t xml:space="preserve"> Разница между виртуальной «официальной» инфляцией и реальными расходами людей наглядно обнажает глубокое классовое расслоение капиталистического общества. </w:t>
      </w:r>
    </w:p>
    <w:p>
      <w:r>
        <w:t>► Жесткая денежно-кредитная политика и высокие процентные ставки служат не «общественному благу», а защищают капиталы крупнейших банковских монополий, позволяя им извлекать сверхприбыли в период кризиса.</w:t>
      </w:r>
    </w:p>
    <w:p>
      <w:r>
        <w:t xml:space="preserve"> ► В условиях падения реальных доходов трудящиеся вынуждены покрывать дефицит семейного бюджета за счет кредитных карт и микрозаймов, превращаясь в бессрочных долговых доноров для финансовой олигархии.</w:t>
      </w:r>
    </w:p>
    <w:p>
      <w:r>
        <w:t xml:space="preserve"> ► Инфляция при капитализме является скрытой формой перераспределения стоимости, где крупный бизнес сохраняет свою рентабельность за счет снижения покупательной способности трудящихся.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infliatsiia-i-doroghiie-kriedity-uskoriaiut-obnishchaniie-bolshinstva-rossiian" TargetMode="External"/><Relationship Id="rId12" Type="http://schemas.openxmlformats.org/officeDocument/2006/relationships/hyperlink" Target="https://www.interfax.ru/business/1090437" TargetMode="External"/><Relationship Id="rId13" Type="http://schemas.openxmlformats.org/officeDocument/2006/relationships/hyperlink" Target="https://www.cbr.ru/analytics/dkp/inflationary_expect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