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ЕС наращивает импорт российского СПГ вопреки санкционной политике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2026-04-14</w:t>
      </w:r>
    </w:p>
    <w:p>
      <w:pPr/>
      <w:r>
        <w:t>1 мин. на чтение</w:t>
      </w:r>
    </w:p>
    <w:p/>
    <w:p>
      <w:r>
        <w:rPr>
          <w:b/>
        </w:rPr>
        <w:t>Рост закупок российского сжиженного природного газа странами ЕС на фоне ближневосточного кризиса обнажает приоритет экономической выгоды над политическими декларациями.</w:t>
      </w:r>
    </w:p>
    <w:p>
      <w:r>
        <w:rPr>
          <w:b/>
        </w:rPr>
        <w:t>Детали.</w:t>
      </w:r>
      <w:r>
        <w:t xml:space="preserve"> В первом квартале 2026 года импорт российского СПГ с проекта «Ямал СПГ» в Евросоюз увеличился более чем на 10% по сравнению с прошлым годом, достигнув</w:t>
      </w:r>
      <w:hyperlink r:id="rId12">
        <w:r>
          <w:rPr>
            <w:color w:val="0000FF"/>
            <w:u w:val="single"/>
          </w:rPr>
          <w:t xml:space="preserve"> 5 млн тонн</w:t>
        </w:r>
      </w:hyperlink>
      <w:r>
        <w:t>.</w:t>
      </w:r>
    </w:p>
    <w:p>
      <w:r>
        <w:t>► На долю европейских потребителей пришлось 97% всех поставок с этого проекта — 69 из 71 отгруженной партии.</w:t>
      </w:r>
    </w:p>
    <w:p>
      <w:r>
        <w:t>► Основной причиной роста стали перебои в поставках из ближневосточного региона, вызванные эскалацией конфликта вокруг Ирана и угрозами судоходству в Ормузском проливе.</w:t>
      </w:r>
    </w:p>
    <w:p>
      <w:r>
        <w:rPr>
          <w:b/>
        </w:rPr>
        <w:t>Контекст.</w:t>
      </w:r>
      <w:r>
        <w:t xml:space="preserve"> После начала украинского конфликта энергетическая стратегия ЕС была переориентирована на замещение российского трубопроводного газа морскими поставками СПГ.</w:t>
      </w:r>
    </w:p>
    <w:p>
      <w:r>
        <w:t>► Эта модель сделала европейскую экономику критически зависимой от волатильного мирового рынка и стабильности морской логистики.</w:t>
      </w:r>
    </w:p>
    <w:p>
      <w:r>
        <w:t>► Постоянная нестабильность в ключевых точках добычи, прежде всего на Ближнем Востоке, регулярно подрывает планы Брюсселя по диверсификации ресурсов.</w:t>
      </w:r>
    </w:p>
    <w:p>
      <w:r>
        <w:t>► Установленная ЕС цель полностью отказаться от российского ископаемого топлива к 2027 году на данный момент не подкреплена надежными альтернативными источниками.</w:t>
      </w:r>
    </w:p>
    <w:p>
      <w:r>
        <w:rPr>
          <w:b/>
        </w:rPr>
        <w:t>Важно знать</w:t>
      </w:r>
      <w:r>
        <w:t>. Ситуация демонстрирует неспособность санкционных механизмов преодолеть законы капиталистической экономики: потребность в сохранении промышленного производства неизбежно берет верх над идеологическими установками.</w:t>
      </w:r>
    </w:p>
    <w:p>
      <w:r>
        <w:t>► Замена стабильных трубопроводных маршрутов на гибкий рынок СПГ не дала Европе независимости, а лишь сменила одну форму уязвимости на другую, сделав заложницей глобальной конкуренции.</w:t>
      </w:r>
    </w:p>
    <w:p>
      <w:r>
        <w:t>► Использование российского газа в условиях формальных запретов подтверждает, что в рамках империалистического передела рынков доступ к дешевой энергии остается решающим фактором выживания капитала.</w:t>
      </w:r>
    </w:p>
    <w:p>
      <w:r>
        <w:t>► Обострение противоречий на Ближнем Востоке будет и далее вынуждать европейские правительства возвращаться к прагматичному сотрудничеству с прежними поставщиками, вопреки собственным политическим обязательствам.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ies-narashchivaiet-import-rossiiskogho-spg-voprieki-sanktsionnoi-politikie" TargetMode="External"/><Relationship Id="rId12" Type="http://schemas.openxmlformats.org/officeDocument/2006/relationships/hyperlink" Target="https://www.forbes.ru/biznes/558990-ft-uznala-ob-uvelicenii-evrosouzom-importa-rossijskogo-spg-iz-za-vojny-v-i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