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Госдума отменила публичные декларации чиновников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2025-12-19</w:t>
      </w:r>
    </w:p>
    <w:p>
      <w:pPr/>
      <w:r>
        <w:t>1 мин. на чтение</w:t>
      </w:r>
    </w:p>
    <w:p/>
    <w:p>
      <w:r>
        <w:rPr>
          <w:b/>
        </w:rPr>
        <w:t>Детали.</w:t>
      </w:r>
      <w:r>
        <w:t xml:space="preserve"> Государственная Дума во втором и третьем чтениях</w:t>
      </w:r>
      <w:hyperlink r:id="rId11">
        <w:r>
          <w:rPr>
            <w:color w:val="0000FF"/>
            <w:u w:val="single"/>
          </w:rPr>
          <w:t xml:space="preserve"> приняла</w:t>
        </w:r>
      </w:hyperlink>
      <w:r>
        <w:t xml:space="preserve"> законопроект, отменяющий обязанность большинства государственных и муниципальных служащих ежегодно подавать декларации о доходах и имуществе.</w:t>
      </w:r>
    </w:p>
    <w:p>
      <w:r>
        <w:t>► Вместо публичных отчетов контроль за активами чиновников будет осуществляться непрерывно через государственную информационную систему</w:t>
      </w:r>
      <w:hyperlink r:id="rId12">
        <w:r>
          <w:rPr>
            <w:color w:val="0000FF"/>
            <w:u w:val="single"/>
          </w:rPr>
          <w:t xml:space="preserve"> «Посейдон»</w:t>
        </w:r>
      </w:hyperlink>
      <w:r>
        <w:t>. Система агрегирует данные из банков, налоговой службы и Росреестра, формируя цифровой профиль служащего.</w:t>
      </w:r>
    </w:p>
    <w:p>
      <w:r>
        <w:t>► Обязанность подавать декларации вручную</w:t>
      </w:r>
      <w:hyperlink r:id="rId13">
        <w:r>
          <w:rPr>
            <w:color w:val="0000FF"/>
            <w:u w:val="single"/>
          </w:rPr>
          <w:t xml:space="preserve"> сохраняется</w:t>
        </w:r>
      </w:hyperlink>
      <w:r>
        <w:t xml:space="preserve"> только в особых случаях: при назначении на должность, включении в кадровый резерв или совершении сделок, сумма которых превышает общий доход семьи за три года.</w:t>
      </w:r>
    </w:p>
    <w:p>
      <w:r>
        <w:t>► Оператором системы является Федеральная служба охраны (ФСО), а координатором — Администрация президента. Таким образом, сведения о доходах госслужащих полностью выводятся из публичного поля.</w:t>
      </w:r>
    </w:p>
    <w:p>
      <w:r>
        <w:rPr>
          <w:b/>
        </w:rPr>
        <w:t>Контекст.</w:t>
      </w:r>
      <w:r>
        <w:t xml:space="preserve"> Политика засекречивания данных о состоянии правящего класса проводится последовательно с момента обострения внешнеполитической обстановки.</w:t>
      </w:r>
    </w:p>
    <w:p>
      <w:r>
        <w:t>► В декабре 2022 года Владимир Путин подписал</w:t>
      </w:r>
      <w:hyperlink r:id="rId14">
        <w:r>
          <w:rPr>
            <w:color w:val="0000FF"/>
            <w:u w:val="single"/>
          </w:rPr>
          <w:t xml:space="preserve"> указ</w:t>
        </w:r>
      </w:hyperlink>
      <w:r>
        <w:t>, который разрешил чиновникам не публиковать декларации на время проведения СВО.</w:t>
      </w:r>
    </w:p>
    <w:p>
      <w:r>
        <w:t>► В 2023 году был принят</w:t>
      </w:r>
      <w:hyperlink r:id="rId15">
        <w:r>
          <w:rPr>
            <w:color w:val="0000FF"/>
            <w:u w:val="single"/>
          </w:rPr>
          <w:t xml:space="preserve"> закон</w:t>
        </w:r>
      </w:hyperlink>
      <w:r>
        <w:t>, позволяющий депутатам Госдумы и сенаторам публиковать сведения о доходах только в обобщенном виде. Нынешняя реформа распространяет принцип непрозрачности на всю вертикаль власти, закрепляя временные меры как постоянную норму.</w:t>
      </w:r>
    </w:p>
    <w:p>
      <w:r>
        <w:t>► Система «Посейдон»,</w:t>
      </w:r>
      <w:hyperlink r:id="rId16">
        <w:r>
          <w:rPr>
            <w:color w:val="0000FF"/>
            <w:u w:val="single"/>
          </w:rPr>
          <w:t xml:space="preserve"> запущенная</w:t>
        </w:r>
      </w:hyperlink>
      <w:r>
        <w:t xml:space="preserve"> в 2022 году как инструмент антикоррупционного мониторинга, теперь стала техническим обоснованием для отказа от принципов открытости госслужбы.</w:t>
      </w:r>
    </w:p>
    <w:p>
      <w:r>
        <w:rPr>
          <w:b/>
        </w:rPr>
        <w:t>Важно знать.</w:t>
      </w:r>
      <w:r>
        <w:t xml:space="preserve"> Реформа, преподносимая как «цифровизация», фактически завершает процесс обособления госаппарата от общества.</w:t>
      </w:r>
    </w:p>
    <w:p>
      <w:r>
        <w:t>► Отмена публичных деклараций скрывает реальный уровень имущественного расслоения. В текущих экономических условиях информация о доходах высшей бюрократии рассматривается властью как фактор раздражения, который необходимо исключить из информационного поля.</w:t>
      </w:r>
    </w:p>
    <w:p>
      <w:r>
        <w:t>► «Прозрачность» становится внутренней привилегией системы. Данные о состоянии чиновников теперь концентрируются исключительно в руках Администрации президента и спецслужб. Это усиливает централизацию власти: любой компрометирующий факт становится инструментом аппаратного влияния, а не поводом для общественного разбирательства.</w:t>
      </w:r>
    </w:p>
    <w:p>
      <w:r>
        <w:t>► Государство отказывается от подотчетности перед населением, заменяя ее на вертикальную дисциплину. Борьба с нарушениями переходит в режим «ручного управления», где решение о наказании принимается кулуарно, без участия гражданского общества.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gosduma-otmienila-publichnyie-dieklaratsii-chinovnikov" TargetMode="External"/><Relationship Id="rId11" Type="http://schemas.openxmlformats.org/officeDocument/2006/relationships/hyperlink" Target="http://duma.gov.ru/news/62707/" TargetMode="External"/><Relationship Id="rId12" Type="http://schemas.openxmlformats.org/officeDocument/2006/relationships/hyperlink" Target="https://lenta.ru/news/2025/12/18/ezhegodnye-deklaratsii-o-dohodah-chinovnikov-uydut-v-proshloe/" TargetMode="External"/><Relationship Id="rId13" Type="http://schemas.openxmlformats.org/officeDocument/2006/relationships/hyperlink" Target="https://www.interfax.ru/amp/1063551" TargetMode="External"/><Relationship Id="rId14" Type="http://schemas.openxmlformats.org/officeDocument/2006/relationships/hyperlink" Target="https://lenta.ru/news/2022/12/29/heh/" TargetMode="External"/><Relationship Id="rId15" Type="http://schemas.openxmlformats.org/officeDocument/2006/relationships/hyperlink" Target="https://www.rbc.ru/politics/06/02/2023/63e0b4339a794726cb9d2f45" TargetMode="External"/><Relationship Id="rId16" Type="http://schemas.openxmlformats.org/officeDocument/2006/relationships/hyperlink" Target="https://www.kommersant.ru/doc/5329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