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об опасности парламентаризма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2019-09-13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t>“После совместно одержанной победы нам, возможно, предложат несколько постов в новом правительстве, но обязательно так, чтобы мы были в меньшинстве. В этом величайшая опасность</w:t>
      </w:r>
      <w:r>
        <w:rPr>
          <w:i/>
        </w:rPr>
        <w:t xml:space="preserve">. </w:t>
      </w:r>
      <w:r>
        <w:t>После февральской революции 1848 г. французские демократы-социалисты совершили ошибку, заняв подобные посты. Составляя меньшинство в правительстве, они добровольно разделили ответственность за все подлости и предательства по отношению к рабочим, совершенные большинством, состоявшим из чистых республиканцев; в то же время присутствие этих господ в правительстве совершенно парализовало революционные действия рабочего класса, на роль представителей которого они претендовали.”</w:t>
      </w:r>
    </w:p>
    <w:p>
      <w:r>
        <w:rPr>
          <w:b/>
        </w:rPr>
        <w:t>Ф.Энгельс, “Письмо Турати 26 января 1894 г.”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ngels-ob-opasnosti-parlamentar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