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коммунистическом будущем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2018-06-13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 xml:space="preserve">Итак, вы видите, господа, что речь идёт не о том, чтобы ввести общность имущества немедленно и против воли нации, а прежде всего об определении </w:t>
      </w:r>
      <w:r>
        <w:rPr>
          <w:i/>
        </w:rPr>
        <w:t xml:space="preserve">цели, </w:t>
      </w:r>
      <w:r>
        <w:t xml:space="preserve">а также </w:t>
      </w:r>
      <w:r>
        <w:rPr>
          <w:i/>
        </w:rPr>
        <w:t xml:space="preserve">средств </w:t>
      </w:r>
      <w:r>
        <w:t xml:space="preserve">и </w:t>
      </w:r>
      <w:r>
        <w:rPr>
          <w:i/>
        </w:rPr>
        <w:t xml:space="preserve">путей, </w:t>
      </w:r>
      <w:r>
        <w:t xml:space="preserve">какими мы можем идти по направлению к этой цели. Но что </w:t>
      </w:r>
      <w:r>
        <w:rPr>
          <w:b/>
        </w:rPr>
        <w:t>коммунистический принцип</w:t>
      </w:r>
      <w:r>
        <w:t xml:space="preserve"> является принципом </w:t>
      </w:r>
      <w:r>
        <w:rPr>
          <w:b/>
        </w:rPr>
        <w:t>будущего</w:t>
      </w:r>
      <w:r>
        <w:t>, за это говорит ход развития всех цивилизованных наций, за это говорит быстро прогрессирующее разложение всех существовавших до сих пор социальных учреждений, за это говорит человеческий здравый смысл и прежде всего человеческое сердце.</w:t>
      </w:r>
    </w:p>
    <w:p>
      <w:r>
        <w:t>Фридрих Энгельс. — «Эльберфельдские речи».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kommunisticheskom-budush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