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 коллективном характере производства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2019-07-08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t>“Производство на всех предшествовавших ступенях общественного развития было по существу коллективным, равным образом и потребление сводилось к прямому распределению продуктов внутри больших или меньших коммунистических общин. Этот коллективный характер производства осуществлялся в самых узких рамках, но он влек за собой господство производителей над своим производственным процессом и продуктом производства. Они знают, что делается с продуктом: они потребляют его, он не выходит из их рук, и пока производство ведется на этой основе, оно не может перерасти производителей, не может породить таинственные, чуждые им силы, как это постоянно и неизбежно бывает в эпоху цивилизации.”</w:t>
      </w:r>
    </w:p>
    <w:p>
      <w:r>
        <w:rPr>
          <w:b/>
        </w:rPr>
        <w:t>Ф.Энгельс, “Происхождение семьи, частной собственности и государства”</w:t>
      </w:r>
      <w:r>
        <w:rPr>
          <w:b/>
        </w:rPr>
        <w:br/>
      </w:r>
      <w:r>
        <w:rPr>
          <w:b/>
        </w:rPr>
        <w:br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ngels-o-kollektivnom-xaraktere-proizvod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