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 буржуазном суде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2017-07-23</w:t>
      </w:r>
    </w:p>
    <w:p>
      <w:pPr/>
    </w:p>
    <w:p>
      <w:r/>
      <w:r>
        <w:br/>
      </w:r>
      <w:r>
        <w:br/>
      </w:r>
      <w:r/>
    </w:p>
    <w:p>
      <w:pPr>
        <w:pStyle w:val="IntenseQuote"/>
      </w:pPr>
    </w:p>
    <w:p>
      <w:r>
        <w:t>Третирование бедняков и покровительство богачам представляет такое всеобщее явление, практикуется так открыто, так бесстыдно, описывается в газетах так цинично, что редко можно читать газету без внутреннего возмущения. Такого богача встречают всегда с самой изысканной вежливостью, и какой бы зверский ни был его поступок, „судьям всегда очень прискорбно”, что им приходится присудить его к денежному штрафу, обычно самому ничтожному.</w:t>
      </w:r>
    </w:p>
    <w:p>
      <w:r>
        <w:t>(Маркс К. и Энгельс Ф., Соч., т. II, стр, 388).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ngels-o-burzhuaznom-s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