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Банки Barclays подверглись нападениям со стороны пропалестинских группировок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2024-07-12</w:t>
      </w:r>
    </w:p>
    <w:p>
      <w:pPr/>
      <w:r>
        <w:t>2 мин. на чтение</w:t>
      </w:r>
    </w:p>
    <w:p/>
    <w:p>
      <w:r>
        <w:t>По данным пропалестинской группировки «Палестинское действие», 10 июня 20 отделений банка Barclays подверглись нападениям подпольной группы защитников окружающей среды под названием «Закрой систему». Красная краска и разбитые окна были обычным явлением в банках, подвергшимся нападению.</w:t>
      </w:r>
    </w:p>
    <w:p>
      <w:r>
        <w:t xml:space="preserve">Обоснованием этих атак является то, что инвестиции Barclays способствуют и финансируют текущий геноцид в Газе, вкладывая средства в компании, производящие используемое оружие. Пакет акций банка составляет более 2 миллиардов фунтов стерлингов и распределен между восемью из девяти компаний, производящих эти жизненно важные инструменты конфликта </w:t>
      </w:r>
      <w:hyperlink r:id="rId11">
        <w:r>
          <w:rPr>
            <w:color w:val="0000FF"/>
            <w:u w:val="single"/>
          </w:rPr>
          <w:t>[1]</w:t>
        </w:r>
      </w:hyperlink>
      <w:r>
        <w:t>. Банк, при этом, заявлял, что намерен инвестировать свои средства в устойчивую энергетику и серьезно относиться к климатическому кризису, но, как это часто бывает с корпорациями, эти обещания не оправдывают ожиданий и оказываются не более чем пиар-ходом.</w:t>
      </w:r>
    </w:p>
    <w:p>
      <w:r>
        <w:t>Приблизительно 37 084 человека убиты в Секторе Газа, а соглашение о прекращении огня обе стороны до сих пор не приняли. Такие акции как «Палестинское действие» и «Закрой систему» направлены в поддержку Палестины и оказывают давление на компании и правительства, чтобы они прекратили финансирование и поддержку Израиля.</w:t>
      </w:r>
    </w:p>
    <w:p>
      <w:r>
        <w:t xml:space="preserve">Однако Израиль уже заявил, что намерен продолжить конфликт вплоть до 2024 года </w:t>
      </w:r>
      <w:hyperlink r:id="rId12">
        <w:r>
          <w:rPr>
            <w:color w:val="0000FF"/>
            <w:u w:val="single"/>
          </w:rPr>
          <w:t>[2]</w:t>
        </w:r>
      </w:hyperlink>
      <w:r>
        <w:t>. Израиль и международный капитал могут получить огромную прибыль от восстановления опустошенного Сектора Газа и ускоренного обнищания населения, Сектор Газа также будет легче эксплуатировать благодаря низкой заработной плате и в качестве рынка сбыта, так как он будет полностью зависим от Израиля и других капиталистических стран. Кроме того, существуют еще сотни скрытых от общественности методов, с помощью которых корпорации смогут обогащаться.</w:t>
      </w:r>
    </w:p>
    <w:p>
      <w:r>
        <w:t>Отдельные акты «героизма», пытающиеся  бороться с чрезвычайно мощной и укоренившейся системой, свидетельствуют о нетерпении группы людей и их непонимании реальных причин проблем, с которыми мы сталкиваемся. Они отрываются от рабочего класса и пытаются работать без организации масс, полагая, что их индивидуальные «подвиги» сплотят людей за ними.</w:t>
      </w:r>
    </w:p>
    <w:p>
      <w:r>
        <w:t>Растущее число подобных событий символизирует растущее народное недовольство соучастием Британии в геноциде и обеспокоенность по поводу глобального потепления. Но акты «героизма» сами по себе не могут повлиять на происходящее и организованы лишь небольшой частью рабочих и владельцев малого бизнеса, которые считают, что этого достаточно для борьбы с системой.</w:t>
      </w:r>
    </w:p>
    <w:p>
      <w:r>
        <w:t xml:space="preserve">На самом деле, в лучшем случае, эти действия не приносят реальных перемен, а в худшем, они отталкивают рабочие массы от движения и еще больше побуждают не поддерживать его. Подробнее об этом мы говорили в нашей предыдущей </w:t>
      </w:r>
      <w:hyperlink r:id="rId13">
        <w:r>
          <w:rPr>
            <w:color w:val="0000FF"/>
            <w:u w:val="single"/>
          </w:rPr>
          <w:t>статье</w:t>
        </w:r>
      </w:hyperlink>
      <w:r>
        <w:t>.</w:t>
      </w:r>
    </w:p>
    <w:p>
      <w:r>
        <w:t xml:space="preserve">Великобритания в настоящее время переживает кризис стоимости жизни </w:t>
      </w:r>
      <w:hyperlink r:id="rId14">
        <w:r>
          <w:rPr>
            <w:color w:val="0000FF"/>
            <w:u w:val="single"/>
          </w:rPr>
          <w:t>[3]</w:t>
        </w:r>
      </w:hyperlink>
      <w:r>
        <w:t xml:space="preserve">: в последние годы было проведено несколько забастовок, направленных на борьбу с нищетой в сфере заработной платы. Число рабочих дней, потерянных в результате забастовок, является самым высоким с 1989 года </w:t>
      </w:r>
      <w:hyperlink r:id="rId15">
        <w:r>
          <w:rPr>
            <w:color w:val="0000FF"/>
            <w:u w:val="single"/>
          </w:rPr>
          <w:t>[4]</w:t>
        </w:r>
      </w:hyperlink>
      <w:r>
        <w:t>. Вокруг предстоящих национальных выборов царит чувство апатии, поскольку считается, что ни одна партия на самом деле не улучшит ситуацию. Лейбористская партия, которая в настоящее время является оппозицией Консервативной партии, продолжит защищать британские интересы в разрушительной войне в Секторе Газа.</w:t>
      </w:r>
    </w:p>
    <w:p>
      <w:r>
        <w:t>В этой ситуации организация рабочего класса является единственным способом борьбы с падением уровня жизни и соучастием страны в уничтожении Газы и ее народа. Только подлинно коммунистическая партия может сделать это в полной мере.</w:t>
      </w:r>
    </w:p>
    <w:p>
      <w:r>
        <w:t>Коммунист понимает, что именно рабочие массы способны осуществить революционные перемены, и что коммунистическая партия поможет добиться успеха в освобождении рабочих, только неустанно объясняя и разоблачая недостатки капиталистической системы, выдвигая на первый план истинные интересы рабочих и борясь за них. Коммунистическая партия может добиться этого посредством агитации во всех формах рабочих организаций, а не с помощью плохо организованных акций индивидуального действия.</w:t>
      </w:r>
    </w:p>
    <w:p>
      <w:r>
        <w:t xml:space="preserve">Источники: [1] </w:t>
      </w:r>
      <w:hyperlink r:id="rId11">
        <w:r>
          <w:rPr>
            <w:color w:val="0000FF"/>
            <w:u w:val="single"/>
          </w:rPr>
          <w:t>Barclays: Arming Israel’s apartheid and genocide</w:t>
        </w:r>
      </w:hyperlink>
    </w:p>
    <w:p>
      <w:r>
        <w:t xml:space="preserve">[2] U.S. News &amp; World Report - </w:t>
      </w:r>
      <w:hyperlink r:id="rId12">
        <w:r>
          <w:rPr>
            <w:color w:val="0000FF"/>
            <w:u w:val="single"/>
          </w:rPr>
          <w:t>«When Will the Gaza War End? U.S.: ‘ASAP.’ Israel: ‘Another 7 Months’»</w:t>
        </w:r>
      </w:hyperlink>
      <w:r>
        <w:t xml:space="preserve"> от 29 мая 2024 г.</w:t>
      </w:r>
    </w:p>
    <w:p>
      <w:r>
        <w:t xml:space="preserve">[3] Office for National Statistics - </w:t>
      </w:r>
      <w:hyperlink r:id="rId14">
        <w:r>
          <w:rPr>
            <w:color w:val="0000FF"/>
            <w:u w:val="single"/>
          </w:rPr>
          <w:t>«Cost of living latest insights»</w:t>
        </w:r>
      </w:hyperlink>
      <w:r>
        <w:t xml:space="preserve"> от 14 февраля 2024 г.</w:t>
      </w:r>
    </w:p>
    <w:p>
      <w:r>
        <w:t xml:space="preserve">[4] House of Commons Library - </w:t>
      </w:r>
      <w:hyperlink r:id="rId15">
        <w:r>
          <w:rPr>
            <w:color w:val="0000FF"/>
            <w:u w:val="single"/>
          </w:rPr>
          <w:t>«Trade unions and industrial relations»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anki-barclays-podvierghlis-napadieniiam-so-storony-propaliestinskikh-ghruppirovok" TargetMode="External"/><Relationship Id="rId11" Type="http://schemas.openxmlformats.org/officeDocument/2006/relationships/hyperlink" Target="https://palestinecampaign.org/wp-content/uploads/Barclays-report-May-2024-v3-FINAL.pdf" TargetMode="External"/><Relationship Id="rId12" Type="http://schemas.openxmlformats.org/officeDocument/2006/relationships/hyperlink" Target="https://www.usnews.com/news/national-news/articles/2024-05-29/u-s-eyes-end-to-israel-hamas-war-asap-as-israel-expects-7-more-months-of-combat" TargetMode="External"/><Relationship Id="rId13" Type="http://schemas.openxmlformats.org/officeDocument/2006/relationships/hyperlink" Target="https://politsturm.com/marksizm-i-avantyurizm" TargetMode="External"/><Relationship Id="rId14" Type="http://schemas.openxmlformats.org/officeDocument/2006/relationships/hyperlink" Target="https://www.ons.gov.uk/economy/inflationandpriceindices/articles/costofliving/latestinsights" TargetMode="External"/><Relationship Id="rId15" Type="http://schemas.openxmlformats.org/officeDocument/2006/relationships/hyperlink" Target="https://researchbriefings.files.parliament.uk/documents/CBP-9785/CBP-978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